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363" w:type="dxa"/>
        <w:tblInd w:w="9" w:type="dxa"/>
        <w:tblLook w:val="0000" w:firstRow="0" w:lastRow="0" w:firstColumn="0" w:lastColumn="0" w:noHBand="0" w:noVBand="0"/>
      </w:tblPr>
      <w:tblGrid>
        <w:gridCol w:w="8363"/>
      </w:tblGrid>
      <w:tr w:rsidR="00036227" w:rsidTr="00B03982">
        <w:tc>
          <w:tcPr>
            <w:tcW w:w="8363" w:type="dxa"/>
          </w:tcPr>
          <w:p w:rsidR="00916FF8" w:rsidRPr="00624A42" w:rsidRDefault="006D3E15" w:rsidP="004C7868">
            <w:pPr>
              <w:pStyle w:val="FileNumber0"/>
              <w:rPr>
                <w:sz w:val="28"/>
                <w:u w:val="single"/>
                <w:rtl/>
              </w:rPr>
            </w:pPr>
            <w:r>
              <w:rPr>
                <w:u w:val="single"/>
                <w:rtl/>
              </w:rPr>
              <w:t>בבית המשפט העליון בשבתו כבית משפט לערעורים אזרחיים</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464309">
            <w:pPr>
              <w:pStyle w:val="FileNumber"/>
              <w:rPr>
                <w:sz w:val="28"/>
                <w:szCs w:val="28"/>
              </w:rPr>
            </w:pPr>
            <w:bookmarkStart w:id="0" w:name="casename_body"/>
            <w:r>
              <w:rPr>
                <w:sz w:val="28"/>
                <w:szCs w:val="28"/>
                <w:rtl/>
              </w:rPr>
              <w:t>ע"א</w:t>
            </w:r>
            <w:r w:rsidR="006D3E15">
              <w:rPr>
                <w:sz w:val="28"/>
                <w:szCs w:val="28"/>
                <w:rtl/>
              </w:rPr>
              <w:t xml:space="preserve"> 3849/20</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6D3E15">
            <w:pPr>
              <w:pStyle w:val="BodyRuller"/>
            </w:pPr>
            <w:r>
              <w:rPr>
                <w:rtl/>
              </w:rPr>
              <w:t>כבוד השופטת ד' ברק-ארז</w:t>
            </w:r>
          </w:p>
        </w:tc>
      </w:tr>
      <w:tr w:rsidR="006D3E15" w:rsidTr="00EC23AC">
        <w:trPr>
          <w:trHeight w:val="287"/>
        </w:trPr>
        <w:tc>
          <w:tcPr>
            <w:tcW w:w="3261" w:type="dxa"/>
          </w:tcPr>
          <w:p w:rsidR="006D3E15" w:rsidRDefault="006D3E15">
            <w:pPr>
              <w:pStyle w:val="BodyRuller"/>
              <w:rPr>
                <w:rtl/>
              </w:rPr>
            </w:pPr>
          </w:p>
        </w:tc>
        <w:tc>
          <w:tcPr>
            <w:tcW w:w="5239" w:type="dxa"/>
          </w:tcPr>
          <w:p w:rsidR="006D3E15" w:rsidRDefault="006D3E15">
            <w:pPr>
              <w:pStyle w:val="BodyRuller"/>
              <w:rPr>
                <w:rtl/>
              </w:rPr>
            </w:pPr>
            <w:r>
              <w:rPr>
                <w:rtl/>
              </w:rPr>
              <w:t>כבוד השופט ע' גרוסקופף</w:t>
            </w:r>
          </w:p>
        </w:tc>
      </w:tr>
      <w:tr w:rsidR="006D3E15" w:rsidTr="00EC23AC">
        <w:trPr>
          <w:trHeight w:val="287"/>
        </w:trPr>
        <w:tc>
          <w:tcPr>
            <w:tcW w:w="3261" w:type="dxa"/>
          </w:tcPr>
          <w:p w:rsidR="006D3E15" w:rsidRDefault="006D3E15">
            <w:pPr>
              <w:pStyle w:val="BodyRuller"/>
              <w:rPr>
                <w:rtl/>
              </w:rPr>
            </w:pPr>
          </w:p>
        </w:tc>
        <w:tc>
          <w:tcPr>
            <w:tcW w:w="5239" w:type="dxa"/>
          </w:tcPr>
          <w:p w:rsidR="006D3E15" w:rsidRDefault="006D3E15">
            <w:pPr>
              <w:pStyle w:val="BodyRuller"/>
              <w:rPr>
                <w:rtl/>
              </w:rPr>
            </w:pPr>
            <w:r>
              <w:rPr>
                <w:rtl/>
              </w:rPr>
              <w:t>כבוד השופט ח' כבוב</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DD6306">
        <w:trPr>
          <w:trHeight w:val="287"/>
        </w:trPr>
        <w:tc>
          <w:tcPr>
            <w:tcW w:w="3261" w:type="dxa"/>
          </w:tcPr>
          <w:p w:rsidR="00D00CB7" w:rsidRPr="00E75223" w:rsidRDefault="006D3E15" w:rsidP="00DD6306">
            <w:pPr>
              <w:pStyle w:val="BodyRuller"/>
              <w:rPr>
                <w:rFonts w:ascii="David" w:hAnsi="David"/>
              </w:rPr>
            </w:pPr>
            <w:r>
              <w:rPr>
                <w:rFonts w:ascii="David" w:hAnsi="David"/>
                <w:rtl/>
              </w:rPr>
              <w:t>המערערים:</w:t>
            </w:r>
          </w:p>
        </w:tc>
        <w:tc>
          <w:tcPr>
            <w:tcW w:w="5239" w:type="dxa"/>
          </w:tcPr>
          <w:p w:rsidR="00D00CB7" w:rsidRDefault="006D3E15" w:rsidP="00DD6306">
            <w:pPr>
              <w:pStyle w:val="BodyRuller"/>
            </w:pPr>
            <w:r>
              <w:rPr>
                <w:rtl/>
              </w:rPr>
              <w:t>1. יפתח טמיר</w:t>
            </w:r>
          </w:p>
        </w:tc>
      </w:tr>
      <w:tr w:rsidR="006D3E15" w:rsidTr="00DD6306">
        <w:trPr>
          <w:trHeight w:val="287"/>
        </w:trPr>
        <w:tc>
          <w:tcPr>
            <w:tcW w:w="3261" w:type="dxa"/>
          </w:tcPr>
          <w:p w:rsidR="006D3E15" w:rsidRDefault="006D3E15" w:rsidP="00DD6306">
            <w:pPr>
              <w:pStyle w:val="BodyRuller"/>
              <w:rPr>
                <w:rFonts w:ascii="David" w:hAnsi="David"/>
                <w:rtl/>
              </w:rPr>
            </w:pPr>
          </w:p>
        </w:tc>
        <w:tc>
          <w:tcPr>
            <w:tcW w:w="5239" w:type="dxa"/>
          </w:tcPr>
          <w:p w:rsidR="006D3E15" w:rsidRDefault="006D3E15" w:rsidP="00DD6306">
            <w:pPr>
              <w:pStyle w:val="BodyRuller"/>
              <w:rPr>
                <w:rtl/>
              </w:rPr>
            </w:pPr>
            <w:r>
              <w:rPr>
                <w:rtl/>
              </w:rPr>
              <w:t xml:space="preserve">2. ניב </w:t>
            </w:r>
            <w:proofErr w:type="spellStart"/>
            <w:r>
              <w:rPr>
                <w:rtl/>
              </w:rPr>
              <w:t>טוביאס</w:t>
            </w:r>
            <w:proofErr w:type="spellEnd"/>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DD6306">
        <w:trPr>
          <w:trHeight w:val="287"/>
        </w:trPr>
        <w:tc>
          <w:tcPr>
            <w:tcW w:w="3261" w:type="dxa"/>
          </w:tcPr>
          <w:p w:rsidR="0083345F" w:rsidRPr="00E75223" w:rsidRDefault="006D3E15" w:rsidP="00DD6306">
            <w:pPr>
              <w:pStyle w:val="BodyRuller"/>
              <w:rPr>
                <w:rFonts w:ascii="David" w:hAnsi="David"/>
              </w:rPr>
            </w:pPr>
            <w:r>
              <w:rPr>
                <w:rFonts w:ascii="David" w:hAnsi="David"/>
                <w:rtl/>
              </w:rPr>
              <w:t>המשיב</w:t>
            </w:r>
            <w:r w:rsidR="00464309">
              <w:rPr>
                <w:rFonts w:ascii="David" w:hAnsi="David" w:hint="cs"/>
                <w:rtl/>
              </w:rPr>
              <w:t>ה</w:t>
            </w:r>
            <w:r>
              <w:rPr>
                <w:rFonts w:ascii="David" w:hAnsi="David"/>
                <w:rtl/>
              </w:rPr>
              <w:t>:</w:t>
            </w:r>
          </w:p>
        </w:tc>
        <w:tc>
          <w:tcPr>
            <w:tcW w:w="5239" w:type="dxa"/>
          </w:tcPr>
          <w:p w:rsidR="0083345F" w:rsidRDefault="006D3E15" w:rsidP="00DD6306">
            <w:pPr>
              <w:pStyle w:val="BodyRuller"/>
            </w:pPr>
            <w:r>
              <w:rPr>
                <w:rtl/>
              </w:rPr>
              <w:t>סלקום ישראל בע"מ</w:t>
            </w:r>
          </w:p>
        </w:tc>
      </w:tr>
    </w:tbl>
    <w:p w:rsidR="0083345F" w:rsidRDefault="0083345F">
      <w:pPr>
        <w:pStyle w:val="Ruller3"/>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464309" w:rsidRDefault="00464309" w:rsidP="00722B5A">
            <w:pPr>
              <w:pStyle w:val="BodyRuller"/>
              <w:jc w:val="both"/>
              <w:rPr>
                <w:sz w:val="24"/>
                <w:szCs w:val="24"/>
                <w:rtl/>
              </w:rPr>
            </w:pPr>
            <w:r>
              <w:rPr>
                <w:rFonts w:hint="cs"/>
                <w:sz w:val="24"/>
                <w:szCs w:val="24"/>
                <w:rtl/>
              </w:rPr>
              <w:t xml:space="preserve">ערעור על פסק דינו של בית המשפט המחוזי בירושלים מיום 21.4.2020 </w:t>
            </w:r>
            <w:proofErr w:type="spellStart"/>
            <w:r>
              <w:rPr>
                <w:rFonts w:hint="cs"/>
                <w:sz w:val="24"/>
                <w:szCs w:val="24"/>
                <w:rtl/>
              </w:rPr>
              <w:t>בת"צ</w:t>
            </w:r>
            <w:proofErr w:type="spellEnd"/>
            <w:r>
              <w:rPr>
                <w:rFonts w:hint="cs"/>
                <w:sz w:val="24"/>
                <w:szCs w:val="24"/>
                <w:rtl/>
              </w:rPr>
              <w:t xml:space="preserve"> 73252-01-18 שניתן על-ידי כבוד סגנית הנשיא ג' כנפי-שטייניץ;</w:t>
            </w:r>
          </w:p>
          <w:p w:rsidR="00464309" w:rsidRDefault="00464309" w:rsidP="00722B5A">
            <w:pPr>
              <w:pStyle w:val="BodyRuller"/>
              <w:jc w:val="both"/>
              <w:rPr>
                <w:sz w:val="24"/>
                <w:szCs w:val="24"/>
                <w:rtl/>
              </w:rPr>
            </w:pPr>
            <w:r>
              <w:rPr>
                <w:rFonts w:hint="cs"/>
                <w:sz w:val="24"/>
                <w:szCs w:val="24"/>
                <w:rtl/>
              </w:rPr>
              <w:t>השלמת טיעון מטעם המשיבה מיום 26.3.2023;</w:t>
            </w:r>
          </w:p>
          <w:p w:rsidR="00916FF8" w:rsidRPr="00265F6E" w:rsidRDefault="00464309" w:rsidP="00722B5A">
            <w:pPr>
              <w:pStyle w:val="BodyRuller"/>
              <w:jc w:val="both"/>
              <w:rPr>
                <w:sz w:val="24"/>
                <w:szCs w:val="24"/>
              </w:rPr>
            </w:pPr>
            <w:r>
              <w:rPr>
                <w:rFonts w:hint="cs"/>
                <w:sz w:val="24"/>
                <w:szCs w:val="24"/>
                <w:rtl/>
              </w:rPr>
              <w:t>השלמת טיעון מטעם המערערים מיום 13.4.2023</w:t>
            </w:r>
          </w:p>
        </w:tc>
      </w:tr>
    </w:tbl>
    <w:p w:rsidR="00916FF8"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2423"/>
        <w:gridCol w:w="2710"/>
      </w:tblGrid>
      <w:tr w:rsidR="008C2F11" w:rsidTr="00D00B1D">
        <w:tc>
          <w:tcPr>
            <w:tcW w:w="3212" w:type="dxa"/>
            <w:tcBorders>
              <w:top w:val="nil"/>
              <w:left w:val="nil"/>
              <w:bottom w:val="nil"/>
              <w:right w:val="nil"/>
            </w:tcBorders>
          </w:tcPr>
          <w:p w:rsidR="008C2F11" w:rsidRPr="00265F6E" w:rsidRDefault="008C2F11">
            <w:pPr>
              <w:pStyle w:val="BodyRuller"/>
              <w:rPr>
                <w:sz w:val="24"/>
                <w:szCs w:val="24"/>
              </w:rPr>
            </w:pPr>
            <w:r w:rsidRPr="00265F6E">
              <w:rPr>
                <w:sz w:val="24"/>
                <w:szCs w:val="24"/>
                <w:rtl/>
              </w:rPr>
              <w:t>תאריך הישיבה:</w:t>
            </w:r>
          </w:p>
        </w:tc>
        <w:tc>
          <w:tcPr>
            <w:tcW w:w="2409" w:type="dxa"/>
            <w:tcBorders>
              <w:top w:val="nil"/>
              <w:left w:val="nil"/>
              <w:bottom w:val="nil"/>
              <w:right w:val="nil"/>
            </w:tcBorders>
          </w:tcPr>
          <w:p w:rsidR="008C2F11" w:rsidRDefault="00464309">
            <w:pPr>
              <w:pStyle w:val="BodyRuller"/>
              <w:rPr>
                <w:rtl/>
              </w:rPr>
            </w:pPr>
            <w:r>
              <w:rPr>
                <w:rFonts w:hint="cs"/>
                <w:sz w:val="24"/>
                <w:szCs w:val="24"/>
                <w:rtl/>
              </w:rPr>
              <w:t xml:space="preserve">כ"ה בכסלו </w:t>
            </w:r>
            <w:proofErr w:type="spellStart"/>
            <w:r>
              <w:rPr>
                <w:rFonts w:hint="cs"/>
                <w:sz w:val="24"/>
                <w:szCs w:val="24"/>
                <w:rtl/>
              </w:rPr>
              <w:t>התשפ"ג</w:t>
            </w:r>
            <w:proofErr w:type="spellEnd"/>
            <w:r w:rsidR="008C2F11">
              <w:t xml:space="preserve">       </w:t>
            </w:r>
          </w:p>
        </w:tc>
        <w:tc>
          <w:tcPr>
            <w:tcW w:w="2694" w:type="dxa"/>
            <w:tcBorders>
              <w:top w:val="nil"/>
              <w:left w:val="nil"/>
              <w:bottom w:val="nil"/>
              <w:right w:val="nil"/>
            </w:tcBorders>
          </w:tcPr>
          <w:p w:rsidR="008C2F11" w:rsidRDefault="006D3E15" w:rsidP="00953D6F">
            <w:pPr>
              <w:pStyle w:val="BodyRuller"/>
              <w:rPr>
                <w:sz w:val="24"/>
                <w:szCs w:val="24"/>
                <w:rtl/>
              </w:rPr>
            </w:pPr>
            <w:r>
              <w:t>(</w:t>
            </w:r>
            <w:r w:rsidR="00464309">
              <w:t>19</w:t>
            </w:r>
            <w:r>
              <w:t>.</w:t>
            </w:r>
            <w:r w:rsidR="00464309">
              <w:t>12</w:t>
            </w:r>
            <w:r>
              <w:t>.</w:t>
            </w:r>
            <w:r w:rsidR="00953D6F">
              <w:t>2022</w:t>
            </w:r>
            <w:r>
              <w:t>)</w:t>
            </w:r>
            <w:r w:rsidR="00200D6B">
              <w:t xml:space="preserve"> </w:t>
            </w:r>
          </w:p>
        </w:tc>
      </w:tr>
    </w:tbl>
    <w:p w:rsidR="00916FF8" w:rsidRDefault="00916FF8">
      <w:pPr>
        <w:pStyle w:val="Ruller3"/>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5"/>
        <w:gridCol w:w="5148"/>
      </w:tblGrid>
      <w:tr w:rsidR="00036227" w:rsidTr="00D00B1D">
        <w:tc>
          <w:tcPr>
            <w:tcW w:w="3257" w:type="dxa"/>
            <w:tcBorders>
              <w:top w:val="nil"/>
              <w:left w:val="nil"/>
              <w:bottom w:val="nil"/>
              <w:right w:val="nil"/>
            </w:tcBorders>
          </w:tcPr>
          <w:p w:rsidR="00036227" w:rsidRDefault="006D3E15">
            <w:pPr>
              <w:pStyle w:val="BodyRuller"/>
            </w:pPr>
            <w:r>
              <w:rPr>
                <w:rtl/>
              </w:rPr>
              <w:t>בשם המערערים:</w:t>
            </w:r>
          </w:p>
        </w:tc>
        <w:tc>
          <w:tcPr>
            <w:tcW w:w="5238" w:type="dxa"/>
            <w:tcBorders>
              <w:top w:val="nil"/>
              <w:left w:val="nil"/>
              <w:bottom w:val="nil"/>
              <w:right w:val="nil"/>
            </w:tcBorders>
          </w:tcPr>
          <w:p w:rsidR="00036227" w:rsidRDefault="00464309" w:rsidP="00464309">
            <w:pPr>
              <w:pStyle w:val="BodyRuller"/>
            </w:pPr>
            <w:r>
              <w:rPr>
                <w:rFonts w:hint="cs"/>
                <w:rtl/>
              </w:rPr>
              <w:t xml:space="preserve">עו"ד שלומי מושקוביץ, עו"ד נתי </w:t>
            </w:r>
            <w:proofErr w:type="spellStart"/>
            <w:r>
              <w:rPr>
                <w:rFonts w:hint="cs"/>
                <w:rtl/>
              </w:rPr>
              <w:t>פולינגר</w:t>
            </w:r>
            <w:proofErr w:type="spellEnd"/>
            <w:r>
              <w:rPr>
                <w:rFonts w:hint="cs"/>
                <w:rtl/>
              </w:rPr>
              <w:t xml:space="preserve"> </w:t>
            </w:r>
          </w:p>
        </w:tc>
      </w:tr>
      <w:tr w:rsidR="006D3E15" w:rsidTr="00D00B1D">
        <w:tc>
          <w:tcPr>
            <w:tcW w:w="3257" w:type="dxa"/>
            <w:tcBorders>
              <w:top w:val="nil"/>
              <w:left w:val="nil"/>
              <w:bottom w:val="nil"/>
              <w:right w:val="nil"/>
            </w:tcBorders>
          </w:tcPr>
          <w:p w:rsidR="006D3E15" w:rsidRDefault="006D3E15">
            <w:pPr>
              <w:pStyle w:val="BodyRuller"/>
            </w:pPr>
          </w:p>
        </w:tc>
        <w:tc>
          <w:tcPr>
            <w:tcW w:w="5238" w:type="dxa"/>
            <w:tcBorders>
              <w:top w:val="nil"/>
              <w:left w:val="nil"/>
              <w:bottom w:val="nil"/>
              <w:right w:val="nil"/>
            </w:tcBorders>
          </w:tcPr>
          <w:p w:rsidR="006D3E15" w:rsidRDefault="006D3E15">
            <w:pPr>
              <w:pStyle w:val="BodyRuller"/>
              <w:rPr>
                <w:rtl/>
              </w:rPr>
            </w:pPr>
          </w:p>
        </w:tc>
      </w:tr>
    </w:tbl>
    <w:p w:rsidR="00916FF8" w:rsidRDefault="00916FF8">
      <w:pPr>
        <w:pStyle w:val="Ruller3"/>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5149"/>
      </w:tblGrid>
      <w:tr w:rsidR="00036227" w:rsidTr="00D00B1D">
        <w:tc>
          <w:tcPr>
            <w:tcW w:w="3257" w:type="dxa"/>
            <w:tcBorders>
              <w:top w:val="nil"/>
              <w:left w:val="nil"/>
              <w:bottom w:val="nil"/>
              <w:right w:val="nil"/>
            </w:tcBorders>
          </w:tcPr>
          <w:p w:rsidR="00036227" w:rsidRDefault="006D3E15">
            <w:pPr>
              <w:pStyle w:val="BodyRuller"/>
            </w:pPr>
            <w:r>
              <w:rPr>
                <w:rtl/>
              </w:rPr>
              <w:t>בשם המשיב</w:t>
            </w:r>
            <w:r w:rsidR="00464309">
              <w:rPr>
                <w:rFonts w:hint="cs"/>
                <w:rtl/>
              </w:rPr>
              <w:t>ה</w:t>
            </w:r>
            <w:r>
              <w:rPr>
                <w:rtl/>
              </w:rPr>
              <w:t>:</w:t>
            </w:r>
          </w:p>
        </w:tc>
        <w:tc>
          <w:tcPr>
            <w:tcW w:w="5238" w:type="dxa"/>
            <w:tcBorders>
              <w:top w:val="nil"/>
              <w:left w:val="nil"/>
              <w:bottom w:val="nil"/>
              <w:right w:val="nil"/>
            </w:tcBorders>
          </w:tcPr>
          <w:p w:rsidR="00036227" w:rsidRDefault="006D3E15" w:rsidP="00464309">
            <w:pPr>
              <w:pStyle w:val="BodyRuller"/>
            </w:pPr>
            <w:r>
              <w:rPr>
                <w:rtl/>
              </w:rPr>
              <w:t xml:space="preserve">עו"ד </w:t>
            </w:r>
            <w:r w:rsidR="00464309">
              <w:rPr>
                <w:rFonts w:hint="cs"/>
                <w:rtl/>
              </w:rPr>
              <w:t xml:space="preserve">ברק טל, עו"ד </w:t>
            </w:r>
            <w:proofErr w:type="spellStart"/>
            <w:r w:rsidR="00464309">
              <w:rPr>
                <w:rFonts w:hint="cs"/>
                <w:rtl/>
              </w:rPr>
              <w:t>חניטל</w:t>
            </w:r>
            <w:proofErr w:type="spellEnd"/>
            <w:r w:rsidR="00464309">
              <w:rPr>
                <w:rFonts w:hint="cs"/>
                <w:rtl/>
              </w:rPr>
              <w:t xml:space="preserve"> בלינסון נבון, עו"ד שחר אילוז</w:t>
            </w:r>
          </w:p>
        </w:tc>
      </w:tr>
    </w:tbl>
    <w:p w:rsidR="00916FF8" w:rsidRDefault="00916FF8">
      <w:pPr>
        <w:tabs>
          <w:tab w:val="left" w:pos="2552"/>
        </w:tabs>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6D3E15">
            <w:pPr>
              <w:pStyle w:val="DocumentHead"/>
            </w:pPr>
            <w:bookmarkStart w:id="1" w:name="secretary"/>
            <w:bookmarkStart w:id="2" w:name="BeginProtocol"/>
            <w:bookmarkEnd w:id="1"/>
            <w:bookmarkEnd w:id="2"/>
            <w:r>
              <w:rPr>
                <w:rtl/>
              </w:rPr>
              <w:t>פסק-דין</w:t>
            </w:r>
          </w:p>
        </w:tc>
      </w:tr>
    </w:tbl>
    <w:p w:rsidR="0065522F" w:rsidRDefault="0065522F">
      <w:pPr>
        <w:pStyle w:val="BODYVERDICT"/>
      </w:pPr>
    </w:p>
    <w:p w:rsidR="00AA280A" w:rsidRPr="00503A3E" w:rsidRDefault="00AA280A" w:rsidP="00AA280A">
      <w:pPr>
        <w:pStyle w:val="BODYVERDICT"/>
        <w:rPr>
          <w:rFonts w:cs="Miriam"/>
          <w:sz w:val="24"/>
          <w:szCs w:val="24"/>
          <w:u w:val="single"/>
          <w:rtl/>
        </w:rPr>
      </w:pPr>
      <w:bookmarkStart w:id="3" w:name="Writer_Name"/>
      <w:bookmarkEnd w:id="3"/>
      <w:r>
        <w:rPr>
          <w:rFonts w:cs="Miriam"/>
          <w:sz w:val="24"/>
          <w:szCs w:val="24"/>
          <w:u w:val="single"/>
          <w:rtl/>
        </w:rPr>
        <w:t>השופטת ד' ברק-ארז:</w:t>
      </w:r>
    </w:p>
    <w:p w:rsidR="00AA280A" w:rsidRDefault="00AA280A" w:rsidP="00AA280A">
      <w:pPr>
        <w:pStyle w:val="Ruller41"/>
        <w:rPr>
          <w:rtl/>
        </w:rPr>
      </w:pPr>
      <w:bookmarkStart w:id="4" w:name="Start_Write"/>
      <w:bookmarkEnd w:id="4"/>
    </w:p>
    <w:p w:rsidR="00AA280A" w:rsidRDefault="00AA280A" w:rsidP="00AA280A">
      <w:pPr>
        <w:pStyle w:val="Ruller41"/>
        <w:rPr>
          <w:rtl/>
        </w:rPr>
      </w:pPr>
      <w:r>
        <w:rPr>
          <w:rFonts w:hint="cs"/>
          <w:rtl/>
        </w:rPr>
        <w:t>1.</w:t>
      </w:r>
      <w:r>
        <w:rPr>
          <w:rFonts w:hint="cs"/>
          <w:rtl/>
        </w:rPr>
        <w:tab/>
        <w:t xml:space="preserve">כיצד יש לפרש את ההסדר הקבוע בחוק הגנת הצרכן, התשמ"א-1981 (להלן: </w:t>
      </w:r>
      <w:r w:rsidRPr="00242861">
        <w:rPr>
          <w:rFonts w:ascii="Century" w:hAnsi="Century" w:cs="Miriam" w:hint="cs"/>
          <w:b/>
          <w:spacing w:val="0"/>
          <w:szCs w:val="24"/>
          <w:rtl/>
        </w:rPr>
        <w:t>חוק הגנת הצרכן</w:t>
      </w:r>
      <w:r>
        <w:rPr>
          <w:rFonts w:hint="cs"/>
          <w:rtl/>
        </w:rPr>
        <w:t xml:space="preserve"> או </w:t>
      </w:r>
      <w:r>
        <w:rPr>
          <w:rFonts w:ascii="Century" w:hAnsi="Century" w:cs="Miriam" w:hint="cs"/>
          <w:b/>
          <w:spacing w:val="0"/>
          <w:szCs w:val="24"/>
          <w:rtl/>
        </w:rPr>
        <w:t>החוק</w:t>
      </w:r>
      <w:r>
        <w:rPr>
          <w:rFonts w:hint="cs"/>
          <w:rtl/>
        </w:rPr>
        <w:t>), ביחס להתקשרות קצובה בזמן שבמהלכה ניתנת הנחה מיוחדת לצרכן? באופן קונקרטי, מהי הדרך המחייבת למסירת הודעה לצרכן על סיום תקופת ההנחה? ולבסוף, מהו הסעד שניתן לתבוע במקרה שבו מופרות חובות היידוע הסטטוטוריו</w:t>
      </w:r>
      <w:r>
        <w:rPr>
          <w:rFonts w:hint="eastAsia"/>
          <w:rtl/>
        </w:rPr>
        <w:t>ת</w:t>
      </w:r>
      <w:r>
        <w:rPr>
          <w:rFonts w:hint="cs"/>
          <w:rtl/>
        </w:rPr>
        <w:t>? שאלות אלה, ושאלות אחרות הקשורות בהן, נדונו בפנינו בגדרו של הערעור הנוכחי.</w:t>
      </w:r>
    </w:p>
    <w:p w:rsidR="00AA280A" w:rsidRDefault="00AA280A" w:rsidP="00AA280A">
      <w:pPr>
        <w:pStyle w:val="Ruller41"/>
        <w:rPr>
          <w:rtl/>
        </w:rPr>
      </w:pPr>
    </w:p>
    <w:p w:rsidR="00AA280A" w:rsidRPr="00044568" w:rsidRDefault="00AA280A" w:rsidP="00AA280A">
      <w:pPr>
        <w:pStyle w:val="Ruller41"/>
        <w:rPr>
          <w:rFonts w:ascii="Century" w:hAnsi="Century" w:cs="Miriam"/>
          <w:b/>
          <w:spacing w:val="0"/>
          <w:szCs w:val="24"/>
          <w:rtl/>
        </w:rPr>
      </w:pPr>
      <w:r w:rsidRPr="00044568">
        <w:rPr>
          <w:rFonts w:ascii="Century" w:hAnsi="Century" w:cs="Miriam" w:hint="cs"/>
          <w:b/>
          <w:spacing w:val="0"/>
          <w:szCs w:val="24"/>
          <w:rtl/>
        </w:rPr>
        <w:lastRenderedPageBreak/>
        <w:t>המסגרת הנורמטיבית</w:t>
      </w:r>
    </w:p>
    <w:p w:rsidR="00AA280A" w:rsidRPr="00044568" w:rsidRDefault="00AA280A" w:rsidP="00AA280A">
      <w:pPr>
        <w:pStyle w:val="Ruller41"/>
        <w:rPr>
          <w:rFonts w:ascii="Century" w:hAnsi="Century" w:cs="Miriam"/>
          <w:b/>
          <w:spacing w:val="0"/>
          <w:szCs w:val="24"/>
          <w:rtl/>
        </w:rPr>
      </w:pPr>
    </w:p>
    <w:p w:rsidR="00AA280A" w:rsidRDefault="00AA280A" w:rsidP="00AA280A">
      <w:pPr>
        <w:pStyle w:val="Ruller41"/>
        <w:rPr>
          <w:rtl/>
        </w:rPr>
      </w:pPr>
      <w:r>
        <w:rPr>
          <w:rFonts w:hint="cs"/>
          <w:rtl/>
        </w:rPr>
        <w:t xml:space="preserve">2. </w:t>
      </w:r>
      <w:r>
        <w:rPr>
          <w:rFonts w:hint="cs"/>
          <w:rtl/>
        </w:rPr>
        <w:tab/>
        <w:t xml:space="preserve">במרכזו של ההליך דנן עומד סעיף 13א לחוק הגנת הצרכן, שעניינו בהסדר החל על עסקה צרכנית שהיא "עסקה לתקופה קצובה". עסקה מסוג זה מוגדרת בסעיף-קטן (א) של הסעיף האמור, בהתאם לחלופה הרלוונטית לענייננו, כך: </w:t>
      </w:r>
    </w:p>
    <w:p w:rsidR="00AA280A" w:rsidRDefault="00AA280A" w:rsidP="00AA280A">
      <w:pPr>
        <w:pStyle w:val="Ruller41"/>
        <w:rPr>
          <w:rtl/>
        </w:rPr>
      </w:pPr>
    </w:p>
    <w:p w:rsidR="00AA280A" w:rsidRDefault="00AA280A" w:rsidP="00AA280A">
      <w:pPr>
        <w:pStyle w:val="Ruller5"/>
        <w:rPr>
          <w:rtl/>
        </w:rPr>
      </w:pPr>
      <w:r>
        <w:rPr>
          <w:rFonts w:hint="cs"/>
          <w:rtl/>
        </w:rPr>
        <w:t xml:space="preserve">"(2) </w:t>
      </w:r>
      <w:r w:rsidRPr="00371B60">
        <w:rPr>
          <w:rFonts w:hint="eastAsia"/>
          <w:rtl/>
        </w:rPr>
        <w:t>עסקה</w:t>
      </w:r>
      <w:r w:rsidRPr="00371B60">
        <w:rPr>
          <w:rtl/>
        </w:rPr>
        <w:t xml:space="preserve"> </w:t>
      </w:r>
      <w:r w:rsidRPr="00371B60">
        <w:rPr>
          <w:rFonts w:hint="eastAsia"/>
          <w:rtl/>
        </w:rPr>
        <w:t>שבה</w:t>
      </w:r>
      <w:r w:rsidRPr="00371B60">
        <w:rPr>
          <w:rtl/>
        </w:rPr>
        <w:t xml:space="preserve">, </w:t>
      </w:r>
      <w:r w:rsidRPr="00371B60">
        <w:rPr>
          <w:rFonts w:hint="eastAsia"/>
          <w:rtl/>
        </w:rPr>
        <w:t>בתקופה</w:t>
      </w:r>
      <w:r w:rsidRPr="00371B60">
        <w:rPr>
          <w:rtl/>
        </w:rPr>
        <w:t xml:space="preserve"> </w:t>
      </w:r>
      <w:r w:rsidRPr="00371B60">
        <w:rPr>
          <w:rFonts w:hint="eastAsia"/>
          <w:rtl/>
        </w:rPr>
        <w:t>מסוימת</w:t>
      </w:r>
      <w:r w:rsidRPr="00371B60">
        <w:rPr>
          <w:rtl/>
        </w:rPr>
        <w:t xml:space="preserve">, </w:t>
      </w:r>
      <w:r w:rsidRPr="00371B60">
        <w:rPr>
          <w:rFonts w:hint="eastAsia"/>
          <w:rtl/>
        </w:rPr>
        <w:t>נרכשים</w:t>
      </w:r>
      <w:r w:rsidRPr="00371B60">
        <w:rPr>
          <w:rtl/>
        </w:rPr>
        <w:t xml:space="preserve"> </w:t>
      </w:r>
      <w:r w:rsidRPr="00371B60">
        <w:rPr>
          <w:rFonts w:hint="eastAsia"/>
          <w:rtl/>
        </w:rPr>
        <w:t>טובין</w:t>
      </w:r>
      <w:r w:rsidRPr="00371B60">
        <w:rPr>
          <w:rtl/>
        </w:rPr>
        <w:t xml:space="preserve"> </w:t>
      </w:r>
      <w:r w:rsidRPr="00371B60">
        <w:rPr>
          <w:rFonts w:hint="eastAsia"/>
          <w:rtl/>
        </w:rPr>
        <w:t>או</w:t>
      </w:r>
      <w:r w:rsidRPr="00371B60">
        <w:rPr>
          <w:rtl/>
        </w:rPr>
        <w:t xml:space="preserve"> </w:t>
      </w:r>
      <w:r w:rsidRPr="00371B60">
        <w:rPr>
          <w:rFonts w:hint="eastAsia"/>
          <w:rtl/>
        </w:rPr>
        <w:t>שירותים</w:t>
      </w:r>
      <w:r w:rsidRPr="00371B60">
        <w:rPr>
          <w:rtl/>
        </w:rPr>
        <w:t xml:space="preserve"> </w:t>
      </w:r>
      <w:r w:rsidRPr="00371B60">
        <w:rPr>
          <w:rFonts w:hint="eastAsia"/>
          <w:rtl/>
        </w:rPr>
        <w:t>במחיר</w:t>
      </w:r>
      <w:r w:rsidRPr="00371B60">
        <w:rPr>
          <w:rtl/>
        </w:rPr>
        <w:t xml:space="preserve"> </w:t>
      </w:r>
      <w:r w:rsidRPr="00371B60">
        <w:rPr>
          <w:rFonts w:hint="eastAsia"/>
          <w:rtl/>
        </w:rPr>
        <w:t>מוזל</w:t>
      </w:r>
      <w:r w:rsidRPr="00371B60">
        <w:rPr>
          <w:rtl/>
        </w:rPr>
        <w:t xml:space="preserve"> </w:t>
      </w:r>
      <w:r w:rsidRPr="00371B60">
        <w:rPr>
          <w:rFonts w:hint="eastAsia"/>
          <w:rtl/>
        </w:rPr>
        <w:t>או</w:t>
      </w:r>
      <w:r w:rsidRPr="00371B60">
        <w:rPr>
          <w:rtl/>
        </w:rPr>
        <w:t xml:space="preserve"> </w:t>
      </w:r>
      <w:r w:rsidRPr="00371B60">
        <w:rPr>
          <w:rFonts w:hint="eastAsia"/>
          <w:rtl/>
        </w:rPr>
        <w:t>שניתנת</w:t>
      </w:r>
      <w:r w:rsidRPr="00371B60">
        <w:rPr>
          <w:rtl/>
        </w:rPr>
        <w:t xml:space="preserve"> </w:t>
      </w:r>
      <w:r w:rsidRPr="00371B60">
        <w:rPr>
          <w:rFonts w:hint="eastAsia"/>
          <w:rtl/>
        </w:rPr>
        <w:t>הטבה</w:t>
      </w:r>
      <w:r w:rsidRPr="00371B60">
        <w:rPr>
          <w:rtl/>
        </w:rPr>
        <w:t xml:space="preserve"> </w:t>
      </w:r>
      <w:r w:rsidRPr="00371B60">
        <w:rPr>
          <w:rFonts w:hint="eastAsia"/>
          <w:rtl/>
        </w:rPr>
        <w:t>אחרת</w:t>
      </w:r>
      <w:r w:rsidRPr="00371B60">
        <w:rPr>
          <w:rtl/>
        </w:rPr>
        <w:t xml:space="preserve"> </w:t>
      </w:r>
      <w:r w:rsidRPr="00371B60">
        <w:rPr>
          <w:rFonts w:hint="eastAsia"/>
          <w:rtl/>
        </w:rPr>
        <w:t>בעבורם</w:t>
      </w:r>
      <w:r w:rsidRPr="00371B60">
        <w:rPr>
          <w:rtl/>
        </w:rPr>
        <w:t xml:space="preserve">, </w:t>
      </w:r>
      <w:r w:rsidRPr="00371B60">
        <w:rPr>
          <w:rFonts w:hint="eastAsia"/>
          <w:rtl/>
        </w:rPr>
        <w:t>בין</w:t>
      </w:r>
      <w:r w:rsidRPr="00371B60">
        <w:rPr>
          <w:rtl/>
        </w:rPr>
        <w:t xml:space="preserve"> </w:t>
      </w:r>
      <w:r w:rsidRPr="00371B60">
        <w:rPr>
          <w:rFonts w:hint="eastAsia"/>
          <w:rtl/>
        </w:rPr>
        <w:t>אם</w:t>
      </w:r>
      <w:r w:rsidRPr="00371B60">
        <w:rPr>
          <w:rtl/>
        </w:rPr>
        <w:t xml:space="preserve"> </w:t>
      </w:r>
      <w:r w:rsidRPr="00371B60">
        <w:rPr>
          <w:rFonts w:hint="eastAsia"/>
          <w:rtl/>
        </w:rPr>
        <w:t>העסקה</w:t>
      </w:r>
      <w:r w:rsidRPr="00371B60">
        <w:rPr>
          <w:rtl/>
        </w:rPr>
        <w:t xml:space="preserve"> </w:t>
      </w:r>
      <w:r w:rsidRPr="00371B60">
        <w:rPr>
          <w:rFonts w:hint="eastAsia"/>
          <w:rtl/>
        </w:rPr>
        <w:t>עצמה</w:t>
      </w:r>
      <w:r w:rsidRPr="00371B60">
        <w:rPr>
          <w:rtl/>
        </w:rPr>
        <w:t xml:space="preserve"> </w:t>
      </w:r>
      <w:r w:rsidRPr="00371B60">
        <w:rPr>
          <w:rFonts w:hint="eastAsia"/>
          <w:rtl/>
        </w:rPr>
        <w:t>היא</w:t>
      </w:r>
      <w:r w:rsidRPr="00371B60">
        <w:rPr>
          <w:rtl/>
        </w:rPr>
        <w:t xml:space="preserve"> </w:t>
      </w:r>
      <w:r w:rsidRPr="00371B60">
        <w:rPr>
          <w:rFonts w:hint="eastAsia"/>
          <w:rtl/>
        </w:rPr>
        <w:t>לתקופה</w:t>
      </w:r>
      <w:r w:rsidRPr="00371B60">
        <w:rPr>
          <w:rtl/>
        </w:rPr>
        <w:t xml:space="preserve"> </w:t>
      </w:r>
      <w:r w:rsidRPr="00371B60">
        <w:rPr>
          <w:rFonts w:hint="eastAsia"/>
          <w:rtl/>
        </w:rPr>
        <w:t>בלתי</w:t>
      </w:r>
      <w:r w:rsidRPr="00371B60">
        <w:rPr>
          <w:rtl/>
        </w:rPr>
        <w:t xml:space="preserve"> </w:t>
      </w:r>
      <w:r w:rsidRPr="00371B60">
        <w:rPr>
          <w:rFonts w:hint="eastAsia"/>
          <w:rtl/>
        </w:rPr>
        <w:t>מסוימת</w:t>
      </w:r>
      <w:r w:rsidRPr="00371B60">
        <w:rPr>
          <w:rtl/>
        </w:rPr>
        <w:t xml:space="preserve"> </w:t>
      </w:r>
      <w:r w:rsidRPr="00371B60">
        <w:rPr>
          <w:rFonts w:hint="eastAsia"/>
          <w:rtl/>
        </w:rPr>
        <w:t>ובין</w:t>
      </w:r>
      <w:r w:rsidRPr="00371B60">
        <w:rPr>
          <w:rtl/>
        </w:rPr>
        <w:t xml:space="preserve"> </w:t>
      </w:r>
      <w:r w:rsidRPr="00371B60">
        <w:rPr>
          <w:rFonts w:hint="eastAsia"/>
          <w:rtl/>
        </w:rPr>
        <w:t>אם</w:t>
      </w:r>
      <w:r w:rsidRPr="00371B60">
        <w:rPr>
          <w:rtl/>
        </w:rPr>
        <w:t xml:space="preserve"> </w:t>
      </w:r>
      <w:r w:rsidRPr="00371B60">
        <w:rPr>
          <w:rFonts w:hint="eastAsia"/>
          <w:rtl/>
        </w:rPr>
        <w:t>היא</w:t>
      </w:r>
      <w:r w:rsidRPr="00371B60">
        <w:rPr>
          <w:rtl/>
        </w:rPr>
        <w:t xml:space="preserve"> </w:t>
      </w:r>
      <w:r w:rsidRPr="00371B60">
        <w:rPr>
          <w:rFonts w:hint="eastAsia"/>
          <w:rtl/>
        </w:rPr>
        <w:t>לתקופה</w:t>
      </w:r>
      <w:r w:rsidRPr="00371B60">
        <w:rPr>
          <w:rtl/>
        </w:rPr>
        <w:t xml:space="preserve"> </w:t>
      </w:r>
      <w:r w:rsidRPr="00371B60">
        <w:rPr>
          <w:rFonts w:hint="eastAsia"/>
          <w:rtl/>
        </w:rPr>
        <w:t>מסוימת</w:t>
      </w:r>
      <w:r w:rsidRPr="00371B60">
        <w:rPr>
          <w:rtl/>
        </w:rPr>
        <w:t xml:space="preserve">, </w:t>
      </w:r>
      <w:r w:rsidRPr="00371B60">
        <w:rPr>
          <w:rFonts w:hint="eastAsia"/>
          <w:rtl/>
        </w:rPr>
        <w:t>למעט</w:t>
      </w:r>
      <w:r w:rsidRPr="00371B60">
        <w:rPr>
          <w:rtl/>
        </w:rPr>
        <w:t xml:space="preserve"> </w:t>
      </w:r>
      <w:r w:rsidRPr="00371B60">
        <w:rPr>
          <w:rFonts w:hint="eastAsia"/>
          <w:rtl/>
        </w:rPr>
        <w:t>עסקה</w:t>
      </w:r>
      <w:r w:rsidRPr="00371B60">
        <w:rPr>
          <w:rtl/>
        </w:rPr>
        <w:t xml:space="preserve"> </w:t>
      </w:r>
      <w:r w:rsidRPr="00371B60">
        <w:rPr>
          <w:rFonts w:hint="eastAsia"/>
          <w:rtl/>
        </w:rPr>
        <w:t>שבמהלכה</w:t>
      </w:r>
      <w:r w:rsidRPr="00371B60">
        <w:rPr>
          <w:rtl/>
        </w:rPr>
        <w:t xml:space="preserve">, </w:t>
      </w:r>
      <w:r w:rsidRPr="00371B60">
        <w:rPr>
          <w:rFonts w:hint="eastAsia"/>
          <w:rtl/>
        </w:rPr>
        <w:t>לתקופה</w:t>
      </w:r>
      <w:r w:rsidRPr="00371B60">
        <w:rPr>
          <w:rtl/>
        </w:rPr>
        <w:t xml:space="preserve"> </w:t>
      </w:r>
      <w:r w:rsidRPr="00371B60">
        <w:rPr>
          <w:rFonts w:hint="eastAsia"/>
          <w:rtl/>
        </w:rPr>
        <w:t>מוגבלת</w:t>
      </w:r>
      <w:r w:rsidRPr="00371B60">
        <w:rPr>
          <w:rtl/>
        </w:rPr>
        <w:t xml:space="preserve"> </w:t>
      </w:r>
      <w:r w:rsidRPr="00371B60">
        <w:rPr>
          <w:rFonts w:hint="eastAsia"/>
          <w:rtl/>
        </w:rPr>
        <w:t>ובלא</w:t>
      </w:r>
      <w:r w:rsidRPr="00371B60">
        <w:rPr>
          <w:rtl/>
        </w:rPr>
        <w:t xml:space="preserve"> </w:t>
      </w:r>
      <w:r w:rsidRPr="00371B60">
        <w:rPr>
          <w:rFonts w:hint="eastAsia"/>
          <w:rtl/>
        </w:rPr>
        <w:t>כל</w:t>
      </w:r>
      <w:r w:rsidRPr="00371B60">
        <w:rPr>
          <w:rtl/>
        </w:rPr>
        <w:t xml:space="preserve"> </w:t>
      </w:r>
      <w:r w:rsidRPr="00371B60">
        <w:rPr>
          <w:rFonts w:hint="eastAsia"/>
          <w:rtl/>
        </w:rPr>
        <w:t>תנאי</w:t>
      </w:r>
      <w:r w:rsidRPr="00371B60">
        <w:rPr>
          <w:rtl/>
        </w:rPr>
        <w:t xml:space="preserve">, </w:t>
      </w:r>
      <w:r w:rsidRPr="00371B60">
        <w:rPr>
          <w:rFonts w:hint="eastAsia"/>
          <w:rtl/>
        </w:rPr>
        <w:t>הוזיל</w:t>
      </w:r>
      <w:r w:rsidRPr="00371B60">
        <w:rPr>
          <w:rtl/>
        </w:rPr>
        <w:t xml:space="preserve"> </w:t>
      </w:r>
      <w:r w:rsidRPr="00371B60">
        <w:rPr>
          <w:rFonts w:hint="eastAsia"/>
          <w:rtl/>
        </w:rPr>
        <w:t>העוסק</w:t>
      </w:r>
      <w:r w:rsidRPr="00371B60">
        <w:rPr>
          <w:rtl/>
        </w:rPr>
        <w:t xml:space="preserve"> </w:t>
      </w:r>
      <w:r w:rsidRPr="00371B60">
        <w:rPr>
          <w:rFonts w:hint="eastAsia"/>
          <w:rtl/>
        </w:rPr>
        <w:t>את</w:t>
      </w:r>
      <w:r w:rsidRPr="00371B60">
        <w:rPr>
          <w:rtl/>
        </w:rPr>
        <w:t xml:space="preserve"> </w:t>
      </w:r>
      <w:r w:rsidRPr="00371B60">
        <w:rPr>
          <w:rFonts w:hint="eastAsia"/>
          <w:rtl/>
        </w:rPr>
        <w:t>מחיר</w:t>
      </w:r>
      <w:r w:rsidRPr="00371B60">
        <w:rPr>
          <w:rtl/>
        </w:rPr>
        <w:t xml:space="preserve"> </w:t>
      </w:r>
      <w:r w:rsidRPr="00371B60">
        <w:rPr>
          <w:rFonts w:hint="eastAsia"/>
          <w:rtl/>
        </w:rPr>
        <w:t>הטובין</w:t>
      </w:r>
      <w:r w:rsidRPr="00371B60">
        <w:rPr>
          <w:rtl/>
        </w:rPr>
        <w:t xml:space="preserve"> </w:t>
      </w:r>
      <w:r w:rsidRPr="00371B60">
        <w:rPr>
          <w:rFonts w:hint="eastAsia"/>
          <w:rtl/>
        </w:rPr>
        <w:t>או</w:t>
      </w:r>
      <w:r w:rsidRPr="00371B60">
        <w:rPr>
          <w:rtl/>
        </w:rPr>
        <w:t xml:space="preserve"> </w:t>
      </w:r>
      <w:r w:rsidRPr="00371B60">
        <w:rPr>
          <w:rFonts w:hint="eastAsia"/>
          <w:rtl/>
        </w:rPr>
        <w:t>השירותים</w:t>
      </w:r>
      <w:r w:rsidRPr="00371B60">
        <w:rPr>
          <w:rtl/>
        </w:rPr>
        <w:t xml:space="preserve">, </w:t>
      </w:r>
      <w:r w:rsidRPr="00371B60">
        <w:rPr>
          <w:rFonts w:hint="eastAsia"/>
          <w:rtl/>
        </w:rPr>
        <w:t>או</w:t>
      </w:r>
      <w:r w:rsidRPr="00371B60">
        <w:rPr>
          <w:rtl/>
        </w:rPr>
        <w:t xml:space="preserve"> </w:t>
      </w:r>
      <w:r w:rsidRPr="00371B60">
        <w:rPr>
          <w:rFonts w:hint="eastAsia"/>
          <w:rtl/>
        </w:rPr>
        <w:t>הציע</w:t>
      </w:r>
      <w:r w:rsidRPr="00371B60">
        <w:rPr>
          <w:rtl/>
        </w:rPr>
        <w:t xml:space="preserve"> </w:t>
      </w:r>
      <w:r w:rsidRPr="00371B60">
        <w:rPr>
          <w:rFonts w:hint="eastAsia"/>
          <w:rtl/>
        </w:rPr>
        <w:t>הטבה</w:t>
      </w:r>
      <w:r w:rsidRPr="00371B60">
        <w:rPr>
          <w:rtl/>
        </w:rPr>
        <w:t xml:space="preserve"> </w:t>
      </w:r>
      <w:r w:rsidRPr="00371B60">
        <w:rPr>
          <w:rFonts w:hint="eastAsia"/>
          <w:rtl/>
        </w:rPr>
        <w:t>אחרת</w:t>
      </w:r>
      <w:r>
        <w:rPr>
          <w:rFonts w:hint="cs"/>
          <w:rtl/>
        </w:rPr>
        <w:t>".</w:t>
      </w:r>
    </w:p>
    <w:p w:rsidR="00AA280A" w:rsidRDefault="00AA280A" w:rsidP="00AA280A">
      <w:pPr>
        <w:pStyle w:val="Ruller41"/>
        <w:rPr>
          <w:rtl/>
        </w:rPr>
      </w:pPr>
    </w:p>
    <w:p w:rsidR="00AA280A" w:rsidRDefault="00AA280A" w:rsidP="00AA280A">
      <w:pPr>
        <w:pStyle w:val="Ruller41"/>
        <w:rPr>
          <w:rtl/>
        </w:rPr>
      </w:pPr>
      <w:r>
        <w:rPr>
          <w:rFonts w:hint="cs"/>
          <w:rtl/>
        </w:rPr>
        <w:t>3.</w:t>
      </w:r>
      <w:r>
        <w:rPr>
          <w:rFonts w:hint="cs"/>
          <w:rtl/>
        </w:rPr>
        <w:tab/>
        <w:t>בהמשך לכך, סעיף 13א(ב) לחוק קובע הוראות הנוגעות להודעה שעל העוסק למסור לצרכן לקראת תום התקופה שבה סופקו הטובין או השירותים במחיר המוזל, כדלקמן:</w:t>
      </w:r>
    </w:p>
    <w:p w:rsidR="00AA280A" w:rsidRDefault="00AA280A" w:rsidP="00AA280A">
      <w:pPr>
        <w:pStyle w:val="Ruller41"/>
        <w:rPr>
          <w:rFonts w:ascii="Century" w:hAnsi="Century"/>
          <w:rtl/>
        </w:rPr>
      </w:pPr>
      <w:r>
        <w:rPr>
          <w:rFonts w:ascii="Century" w:hAnsi="Century" w:hint="cs"/>
          <w:rtl/>
        </w:rPr>
        <w:t xml:space="preserve"> </w:t>
      </w:r>
    </w:p>
    <w:p w:rsidR="00AA280A" w:rsidRDefault="00AA280A" w:rsidP="00AA280A">
      <w:pPr>
        <w:pStyle w:val="Ruller5"/>
        <w:rPr>
          <w:rtl/>
        </w:rPr>
      </w:pPr>
      <w:r>
        <w:rPr>
          <w:rFonts w:hint="cs"/>
          <w:rtl/>
        </w:rPr>
        <w:t>"</w:t>
      </w:r>
      <w:r w:rsidRPr="00242861">
        <w:rPr>
          <w:rtl/>
        </w:rPr>
        <w:t>בעסקה לתקופה קצובה שבה מחייב עוסק חשבון של צרכן בתשלומים, לפי הרשאה לחיוב, יודיע העוסק לצרכן, בתקופת ההודעה, על מועד סיום העסקה או ההתחייבות</w:t>
      </w:r>
      <w:r>
        <w:rPr>
          <w:rFonts w:hint="cs"/>
          <w:rtl/>
        </w:rPr>
        <w:t>".</w:t>
      </w:r>
    </w:p>
    <w:p w:rsidR="00AA280A" w:rsidRDefault="00AA280A" w:rsidP="00AA280A">
      <w:pPr>
        <w:pStyle w:val="Ruller41"/>
        <w:rPr>
          <w:rFonts w:ascii="Century" w:hAnsi="Century"/>
          <w:rtl/>
        </w:rPr>
      </w:pPr>
    </w:p>
    <w:p w:rsidR="00AA280A" w:rsidRDefault="00AA280A" w:rsidP="00AA280A">
      <w:pPr>
        <w:pStyle w:val="Ruller41"/>
        <w:rPr>
          <w:rFonts w:ascii="Century" w:hAnsi="Century"/>
          <w:rtl/>
        </w:rPr>
      </w:pPr>
      <w:r>
        <w:rPr>
          <w:rFonts w:ascii="Century" w:hAnsi="Century"/>
          <w:rtl/>
        </w:rPr>
        <w:tab/>
      </w:r>
      <w:r w:rsidR="00953D6F">
        <w:rPr>
          <w:rFonts w:ascii="Century" w:hAnsi="Century" w:hint="cs"/>
          <w:rtl/>
        </w:rPr>
        <w:t>"</w:t>
      </w:r>
      <w:r>
        <w:rPr>
          <w:rFonts w:ascii="Century" w:hAnsi="Century" w:hint="cs"/>
          <w:rtl/>
        </w:rPr>
        <w:t>תקופת ההודעה</w:t>
      </w:r>
      <w:r w:rsidR="00953D6F">
        <w:rPr>
          <w:rFonts w:ascii="Century" w:hAnsi="Century" w:hint="cs"/>
          <w:rtl/>
        </w:rPr>
        <w:t>"</w:t>
      </w:r>
      <w:r>
        <w:rPr>
          <w:rFonts w:ascii="Century" w:hAnsi="Century" w:hint="cs"/>
          <w:rtl/>
        </w:rPr>
        <w:t xml:space="preserve">, בהתאם להוראות החוק, חלה בין ששים לשלושים ימים לפני מועד סיום העסקה או ההתחייבות (שהוא, בהקשר הנוכחי שבפנינו, מועד סיומה של התקופה שבה נרכשים </w:t>
      </w:r>
      <w:r w:rsidR="00953D6F">
        <w:rPr>
          <w:rFonts w:ascii="Century" w:hAnsi="Century" w:hint="cs"/>
          <w:rtl/>
        </w:rPr>
        <w:t>ה</w:t>
      </w:r>
      <w:r>
        <w:rPr>
          <w:rFonts w:ascii="Century" w:hAnsi="Century" w:hint="cs"/>
          <w:rtl/>
        </w:rPr>
        <w:t xml:space="preserve">טובין או </w:t>
      </w:r>
      <w:r w:rsidR="00953D6F">
        <w:rPr>
          <w:rFonts w:ascii="Century" w:hAnsi="Century" w:hint="cs"/>
          <w:rtl/>
        </w:rPr>
        <w:t>ה</w:t>
      </w:r>
      <w:r>
        <w:rPr>
          <w:rFonts w:ascii="Century" w:hAnsi="Century" w:hint="cs"/>
          <w:rtl/>
        </w:rPr>
        <w:t>שירותים במחיר מוזל או בהטבה אחרת).</w:t>
      </w:r>
    </w:p>
    <w:p w:rsidR="00AA280A" w:rsidRDefault="00AA280A" w:rsidP="00AA280A">
      <w:pPr>
        <w:pStyle w:val="Ruller41"/>
        <w:rPr>
          <w:rFonts w:ascii="Century" w:hAnsi="Century"/>
          <w:rtl/>
        </w:rPr>
      </w:pPr>
    </w:p>
    <w:p w:rsidR="00AA280A" w:rsidRDefault="00AA280A" w:rsidP="00AA280A">
      <w:pPr>
        <w:pStyle w:val="Ruller41"/>
        <w:rPr>
          <w:rFonts w:ascii="Century" w:hAnsi="Century"/>
          <w:rtl/>
        </w:rPr>
      </w:pPr>
      <w:r>
        <w:rPr>
          <w:rFonts w:ascii="Century" w:hAnsi="Century" w:hint="cs"/>
          <w:rtl/>
        </w:rPr>
        <w:t xml:space="preserve">4. </w:t>
      </w:r>
      <w:r>
        <w:rPr>
          <w:rFonts w:ascii="Century" w:hAnsi="Century" w:hint="cs"/>
          <w:rtl/>
        </w:rPr>
        <w:tab/>
        <w:t>בנוסף לכך, ועניין זה עומד במוקד המחלוקת בין הצדדים, סעיף 13א(ב) לחוק קובע עוד כי:</w:t>
      </w:r>
    </w:p>
    <w:p w:rsidR="00AA280A" w:rsidRDefault="00AA280A" w:rsidP="00AA280A">
      <w:pPr>
        <w:pStyle w:val="Ruller41"/>
        <w:rPr>
          <w:rFonts w:ascii="Century" w:hAnsi="Century"/>
          <w:rtl/>
        </w:rPr>
      </w:pPr>
    </w:p>
    <w:p w:rsidR="00AA280A" w:rsidRDefault="00AA280A" w:rsidP="00AA280A">
      <w:pPr>
        <w:pStyle w:val="Ruller5"/>
        <w:rPr>
          <w:rtl/>
        </w:rPr>
      </w:pPr>
      <w:r>
        <w:rPr>
          <w:rFonts w:hint="cs"/>
          <w:rtl/>
        </w:rPr>
        <w:t>"</w:t>
      </w:r>
      <w:r w:rsidRPr="00242861">
        <w:rPr>
          <w:rtl/>
        </w:rPr>
        <w:t>המועד האמור יצוין גם בכל אחד מאל</w:t>
      </w:r>
      <w:r>
        <w:rPr>
          <w:rFonts w:hint="cs"/>
          <w:rtl/>
        </w:rPr>
        <w:t xml:space="preserve">ה: </w:t>
      </w:r>
    </w:p>
    <w:p w:rsidR="00AA280A" w:rsidRDefault="00AA280A" w:rsidP="00AA280A">
      <w:pPr>
        <w:pStyle w:val="Ruller5"/>
        <w:rPr>
          <w:rtl/>
        </w:rPr>
      </w:pPr>
      <w:r>
        <w:rPr>
          <w:rFonts w:hint="cs"/>
          <w:rtl/>
        </w:rPr>
        <w:t>(1) ב</w:t>
      </w:r>
      <w:r w:rsidRPr="00242861">
        <w:rPr>
          <w:rtl/>
        </w:rPr>
        <w:t>חוזה, אם קיים חוזה בכתב</w:t>
      </w:r>
      <w:r>
        <w:rPr>
          <w:rFonts w:hint="cs"/>
          <w:rtl/>
        </w:rPr>
        <w:t>...</w:t>
      </w:r>
    </w:p>
    <w:p w:rsidR="00AA280A" w:rsidRDefault="00AA280A" w:rsidP="00AA280A">
      <w:pPr>
        <w:pStyle w:val="Ruller5"/>
        <w:rPr>
          <w:rtl/>
        </w:rPr>
      </w:pPr>
      <w:r>
        <w:rPr>
          <w:rFonts w:hint="cs"/>
          <w:rtl/>
        </w:rPr>
        <w:t xml:space="preserve">(2) </w:t>
      </w:r>
      <w:r w:rsidRPr="00242861">
        <w:rPr>
          <w:rtl/>
        </w:rPr>
        <w:t>בכל חשבונית, או קבלה או הודעת תשלום, הנשלחת לצרכן בתקופה שתחילתה שלושה חודשים לפני מועד סיום העסקה או ההתחייבות</w:t>
      </w:r>
      <w:r>
        <w:rPr>
          <w:rFonts w:hint="cs"/>
          <w:rtl/>
        </w:rPr>
        <w:t>...</w:t>
      </w:r>
      <w:r w:rsidRPr="00242861">
        <w:rPr>
          <w:rtl/>
        </w:rPr>
        <w:t xml:space="preserve"> המועד האמור יצוין בהבלטה מיוחדת ובאותיות ברורות וקריאות</w:t>
      </w:r>
      <w:r>
        <w:rPr>
          <w:rFonts w:hint="cs"/>
          <w:rtl/>
        </w:rPr>
        <w:t>;</w:t>
      </w:r>
    </w:p>
    <w:p w:rsidR="00AA280A" w:rsidRDefault="00AA280A" w:rsidP="00AA280A">
      <w:pPr>
        <w:pStyle w:val="Ruller5"/>
        <w:rPr>
          <w:rtl/>
        </w:rPr>
      </w:pPr>
      <w:r>
        <w:rPr>
          <w:rFonts w:hint="cs"/>
          <w:rtl/>
        </w:rPr>
        <w:t xml:space="preserve">(3) </w:t>
      </w:r>
      <w:r w:rsidRPr="00242861">
        <w:rPr>
          <w:rtl/>
        </w:rPr>
        <w:t>במסרון למספר הטלפון הנייד שמסר הצרכן לעוסק, אם מסר – 21 ימים לפני מועד סיום העסקה או ההתחייבות</w:t>
      </w:r>
      <w:r>
        <w:rPr>
          <w:rFonts w:hint="cs"/>
          <w:rtl/>
        </w:rPr>
        <w:t>..."</w:t>
      </w:r>
    </w:p>
    <w:p w:rsidR="00AA280A" w:rsidRDefault="00AA280A" w:rsidP="00AA280A">
      <w:pPr>
        <w:pStyle w:val="Ruller5"/>
        <w:rPr>
          <w:rtl/>
        </w:rPr>
      </w:pPr>
    </w:p>
    <w:p w:rsidR="00AA280A" w:rsidRDefault="00AA280A" w:rsidP="00AA280A">
      <w:pPr>
        <w:pStyle w:val="Ruller5"/>
        <w:rPr>
          <w:rtl/>
        </w:rPr>
      </w:pPr>
    </w:p>
    <w:p w:rsidR="00AA280A" w:rsidRDefault="00AA280A" w:rsidP="00AA280A">
      <w:pPr>
        <w:pStyle w:val="Ruller41"/>
        <w:rPr>
          <w:rtl/>
        </w:rPr>
      </w:pPr>
      <w:r>
        <w:rPr>
          <w:rtl/>
        </w:rPr>
        <w:lastRenderedPageBreak/>
        <w:tab/>
      </w:r>
      <w:r>
        <w:rPr>
          <w:rFonts w:hint="cs"/>
          <w:rtl/>
        </w:rPr>
        <w:t xml:space="preserve">אם כן, הסעיף ממשיך ומונה גם מספר דרכי יידוע קונקרטיות, שזכו לעיגון מפורש בלשון החוק, ואשר בגדרן נדרש העוסק לציין את המועד הצפוי לסיום תקופת ההטבה.   </w:t>
      </w:r>
    </w:p>
    <w:p w:rsidR="00AA280A" w:rsidRPr="003B7B6C" w:rsidRDefault="00AA280A" w:rsidP="00AA280A">
      <w:pPr>
        <w:pStyle w:val="Ruller41"/>
        <w:rPr>
          <w:rtl/>
        </w:rPr>
      </w:pPr>
    </w:p>
    <w:p w:rsidR="00AA280A" w:rsidRDefault="00AA280A" w:rsidP="00AA280A">
      <w:pPr>
        <w:pStyle w:val="Ruller41"/>
        <w:rPr>
          <w:rFonts w:ascii="Century" w:hAnsi="Century"/>
          <w:rtl/>
        </w:rPr>
      </w:pPr>
      <w:r>
        <w:rPr>
          <w:rFonts w:ascii="Century" w:hAnsi="Century" w:hint="cs"/>
          <w:rtl/>
        </w:rPr>
        <w:t xml:space="preserve">5. </w:t>
      </w:r>
      <w:r>
        <w:rPr>
          <w:rFonts w:ascii="Century" w:hAnsi="Century" w:hint="cs"/>
          <w:rtl/>
        </w:rPr>
        <w:tab/>
        <w:t>לצד חובות היידוע האמורות, ובמידה רבה כהשלמה להן, סעיף 13א(ג)(1) לחוק קובע מגבלה בכל הנוגע ל</w:t>
      </w:r>
      <w:r w:rsidR="00953D6F">
        <w:rPr>
          <w:rFonts w:ascii="Century" w:hAnsi="Century" w:hint="cs"/>
          <w:rtl/>
        </w:rPr>
        <w:t>ה</w:t>
      </w:r>
      <w:r>
        <w:rPr>
          <w:rFonts w:ascii="Century" w:hAnsi="Century" w:hint="cs"/>
          <w:rtl/>
        </w:rPr>
        <w:t>משך ההתקשרות לאחר תום תקופת ההטבה, בזו הלשון:</w:t>
      </w:r>
    </w:p>
    <w:p w:rsidR="00AA280A" w:rsidRDefault="00AA280A" w:rsidP="00AA280A">
      <w:pPr>
        <w:pStyle w:val="Ruller41"/>
        <w:rPr>
          <w:rFonts w:ascii="Century" w:hAnsi="Century"/>
          <w:rtl/>
        </w:rPr>
      </w:pPr>
    </w:p>
    <w:p w:rsidR="00AA280A" w:rsidRDefault="00AA280A" w:rsidP="00AA280A">
      <w:pPr>
        <w:pStyle w:val="Ruller5"/>
        <w:rPr>
          <w:rtl/>
        </w:rPr>
      </w:pPr>
      <w:r>
        <w:rPr>
          <w:rFonts w:hint="cs"/>
          <w:rtl/>
        </w:rPr>
        <w:t>"</w:t>
      </w:r>
      <w:r w:rsidRPr="00242861">
        <w:rPr>
          <w:rtl/>
        </w:rPr>
        <w:t>לתנאי בחוזה הקובע כי ההתקשרות בין הצדדים תימשך לאחר מועד סיום העסקה או ההתחייבות, לא יהיה תוקף, ויראו כאילו נקבע בחוזה שהוא בטל באותו מועד</w:t>
      </w:r>
      <w:r>
        <w:rPr>
          <w:rFonts w:hint="cs"/>
          <w:rtl/>
        </w:rPr>
        <w:t>".</w:t>
      </w:r>
    </w:p>
    <w:p w:rsidR="00AA280A" w:rsidRDefault="00AA280A" w:rsidP="00AA280A">
      <w:pPr>
        <w:pStyle w:val="Ruller41"/>
        <w:rPr>
          <w:rFonts w:ascii="Century" w:hAnsi="Century"/>
          <w:rtl/>
        </w:rPr>
      </w:pPr>
    </w:p>
    <w:p w:rsidR="00AA280A" w:rsidRPr="000C5788" w:rsidRDefault="00AA280A" w:rsidP="00AA280A">
      <w:pPr>
        <w:pStyle w:val="Ruller41"/>
        <w:rPr>
          <w:rFonts w:ascii="FrankRuehl" w:hAnsi="FrankRuehl"/>
          <w:color w:val="000000"/>
          <w:sz w:val="28"/>
          <w:rtl/>
        </w:rPr>
      </w:pPr>
      <w:r>
        <w:rPr>
          <w:rFonts w:ascii="Century" w:hAnsi="Century"/>
          <w:rtl/>
        </w:rPr>
        <w:tab/>
      </w:r>
      <w:r>
        <w:rPr>
          <w:rFonts w:ascii="Century" w:hAnsi="Century" w:hint="cs"/>
          <w:rtl/>
        </w:rPr>
        <w:t xml:space="preserve">במילים אחרות, </w:t>
      </w:r>
      <w:hyperlink r:id="rId8" w:history="1">
        <w:r w:rsidRPr="00B62928">
          <w:rPr>
            <w:rStyle w:val="Hyperlink"/>
            <w:rFonts w:ascii="FrankRuehl" w:hAnsi="FrankRuehl"/>
            <w:color w:val="auto"/>
            <w:sz w:val="28"/>
            <w:u w:val="none"/>
            <w:rtl/>
          </w:rPr>
          <w:t>סעיף 13א(ג)</w:t>
        </w:r>
        <w:r w:rsidRPr="00B62928">
          <w:rPr>
            <w:rStyle w:val="Hyperlink"/>
            <w:rFonts w:ascii="FrankRuehl" w:hAnsi="FrankRuehl"/>
            <w:color w:val="auto"/>
            <w:sz w:val="28"/>
            <w:u w:val="none"/>
          </w:rPr>
          <w:t xml:space="preserve"> (1)</w:t>
        </w:r>
      </w:hyperlink>
      <w:r w:rsidRPr="00B62928">
        <w:rPr>
          <w:rFonts w:ascii="FrankRuehl" w:hAnsi="FrankRuehl"/>
          <w:sz w:val="28"/>
          <w:rtl/>
        </w:rPr>
        <w:t xml:space="preserve">לחוק </w:t>
      </w:r>
      <w:r w:rsidRPr="00B62928">
        <w:rPr>
          <w:rFonts w:ascii="FrankRuehl" w:hAnsi="FrankRuehl" w:hint="cs"/>
          <w:sz w:val="28"/>
          <w:rtl/>
        </w:rPr>
        <w:t xml:space="preserve">מעגן כלל ברירת מחדל </w:t>
      </w:r>
      <w:r w:rsidRPr="00B62928">
        <w:rPr>
          <w:rFonts w:ascii="FrankRuehl" w:hAnsi="FrankRuehl"/>
          <w:sz w:val="28"/>
          <w:rtl/>
        </w:rPr>
        <w:t>לפיו עסקה לתקופה קצובה לא תוארך באופן אוטומטי</w:t>
      </w:r>
      <w:r w:rsidRPr="00B62928">
        <w:rPr>
          <w:rFonts w:ascii="FrankRuehl" w:hAnsi="FrankRuehl" w:hint="cs"/>
          <w:sz w:val="28"/>
          <w:rtl/>
        </w:rPr>
        <w:t>.</w:t>
      </w:r>
      <w:r>
        <w:rPr>
          <w:rFonts w:ascii="FrankRuehl" w:hAnsi="FrankRuehl" w:hint="cs"/>
          <w:color w:val="000000"/>
          <w:sz w:val="28"/>
          <w:rtl/>
        </w:rPr>
        <w:t xml:space="preserve"> כחריג לכך משמש מקרה שבו התקבלה בתקופת ההודעה או לאחריה הסכמה מפורשת מצד הצרכן להארכת ההתקשרות בתקופה נוספת, והכול בכפוף לתנאים הנוספים המנויים לעניין זה בסעיף 13א(ג)(2) לחוק. </w:t>
      </w:r>
    </w:p>
    <w:p w:rsidR="00AA280A" w:rsidRDefault="00AA280A" w:rsidP="00AA280A">
      <w:pPr>
        <w:pStyle w:val="Ruller41"/>
        <w:rPr>
          <w:rFonts w:ascii="Century" w:hAnsi="Century"/>
          <w:rtl/>
        </w:rPr>
      </w:pPr>
    </w:p>
    <w:p w:rsidR="00AA280A" w:rsidRDefault="00AA280A" w:rsidP="00AA280A">
      <w:pPr>
        <w:pStyle w:val="Ruller41"/>
        <w:rPr>
          <w:rFonts w:ascii="Century" w:hAnsi="Century"/>
          <w:rtl/>
        </w:rPr>
      </w:pPr>
      <w:r>
        <w:rPr>
          <w:rFonts w:ascii="Century" w:hAnsi="Century" w:hint="cs"/>
          <w:rtl/>
        </w:rPr>
        <w:t>6.</w:t>
      </w:r>
      <w:r>
        <w:rPr>
          <w:rFonts w:ascii="Century" w:hAnsi="Century"/>
          <w:rtl/>
        </w:rPr>
        <w:tab/>
      </w:r>
      <w:r>
        <w:rPr>
          <w:rFonts w:ascii="Century" w:hAnsi="Century" w:hint="cs"/>
          <w:rtl/>
        </w:rPr>
        <w:t xml:space="preserve">כמו כן, החוק מוסיף ומונה חריגים נוספים </w:t>
      </w:r>
      <w:proofErr w:type="spellStart"/>
      <w:r>
        <w:rPr>
          <w:rFonts w:ascii="Century" w:hAnsi="Century" w:hint="cs"/>
          <w:rtl/>
        </w:rPr>
        <w:t>שבהתקיימם</w:t>
      </w:r>
      <w:proofErr w:type="spellEnd"/>
      <w:r>
        <w:rPr>
          <w:rFonts w:ascii="Century" w:hAnsi="Century" w:hint="cs"/>
          <w:rtl/>
        </w:rPr>
        <w:t xml:space="preserve"> תימשך ההתקשרות בין הצדדים אף לאחר מועד סיומה גם מבלי שניתנה הסכמה מפורשת לכך כאמור. אחד מאותם חריגים, שעומד במוקד המחלוקת שבפנינו, קבוע בסעיף 13א(ד)(2) לחוק, המציב מספר תנאים לתחולתו. וכך הוא מורה:</w:t>
      </w:r>
    </w:p>
    <w:p w:rsidR="00AA280A" w:rsidRDefault="00AA280A" w:rsidP="00AA280A">
      <w:pPr>
        <w:pStyle w:val="Ruller41"/>
        <w:rPr>
          <w:rFonts w:ascii="Century" w:hAnsi="Century"/>
          <w:rtl/>
        </w:rPr>
      </w:pPr>
    </w:p>
    <w:p w:rsidR="00AA280A" w:rsidRDefault="00AA280A" w:rsidP="00AA280A">
      <w:pPr>
        <w:pStyle w:val="Ruller5"/>
        <w:rPr>
          <w:rtl/>
        </w:rPr>
      </w:pPr>
      <w:r>
        <w:rPr>
          <w:rFonts w:hint="cs"/>
          <w:rtl/>
        </w:rPr>
        <w:t>"</w:t>
      </w:r>
      <w:r w:rsidRPr="00AB56D0">
        <w:rPr>
          <w:rFonts w:hint="eastAsia"/>
          <w:rtl/>
        </w:rPr>
        <w:t>הוראות</w:t>
      </w:r>
      <w:r w:rsidRPr="00AB56D0">
        <w:rPr>
          <w:rtl/>
        </w:rPr>
        <w:t xml:space="preserve"> </w:t>
      </w:r>
      <w:r w:rsidRPr="00AB56D0">
        <w:rPr>
          <w:rFonts w:hint="eastAsia"/>
          <w:rtl/>
        </w:rPr>
        <w:t>סעיף</w:t>
      </w:r>
      <w:r w:rsidRPr="00AB56D0">
        <w:rPr>
          <w:rtl/>
        </w:rPr>
        <w:t xml:space="preserve"> </w:t>
      </w:r>
      <w:r w:rsidRPr="00AB56D0">
        <w:rPr>
          <w:rFonts w:hint="eastAsia"/>
          <w:rtl/>
        </w:rPr>
        <w:t>קטן</w:t>
      </w:r>
      <w:r w:rsidRPr="00AB56D0">
        <w:rPr>
          <w:rtl/>
        </w:rPr>
        <w:t xml:space="preserve"> (</w:t>
      </w:r>
      <w:r w:rsidRPr="00AB56D0">
        <w:rPr>
          <w:rFonts w:hint="eastAsia"/>
          <w:rtl/>
        </w:rPr>
        <w:t>ג</w:t>
      </w:r>
      <w:r w:rsidRPr="00AB56D0">
        <w:rPr>
          <w:rtl/>
        </w:rPr>
        <w:t xml:space="preserve">)(1) </w:t>
      </w:r>
      <w:r w:rsidRPr="00AB56D0">
        <w:rPr>
          <w:rFonts w:hint="eastAsia"/>
          <w:rtl/>
        </w:rPr>
        <w:t>לא</w:t>
      </w:r>
      <w:r w:rsidRPr="00AB56D0">
        <w:rPr>
          <w:rtl/>
        </w:rPr>
        <w:t xml:space="preserve"> </w:t>
      </w:r>
      <w:r w:rsidRPr="00AB56D0">
        <w:rPr>
          <w:rFonts w:hint="eastAsia"/>
          <w:rtl/>
        </w:rPr>
        <w:t>יחולו</w:t>
      </w:r>
      <w:r w:rsidRPr="00AB56D0">
        <w:rPr>
          <w:rtl/>
        </w:rPr>
        <w:t xml:space="preserve"> </w:t>
      </w:r>
      <w:r w:rsidRPr="00AB56D0">
        <w:rPr>
          <w:rFonts w:hint="eastAsia"/>
          <w:rtl/>
        </w:rPr>
        <w:t>על</w:t>
      </w:r>
      <w:r w:rsidRPr="00AB56D0">
        <w:rPr>
          <w:rtl/>
        </w:rPr>
        <w:t xml:space="preserve"> – </w:t>
      </w:r>
    </w:p>
    <w:p w:rsidR="00AA280A" w:rsidRDefault="00AA280A" w:rsidP="00AA280A">
      <w:pPr>
        <w:pStyle w:val="Ruller5"/>
        <w:rPr>
          <w:rtl/>
        </w:rPr>
      </w:pPr>
      <w:r w:rsidRPr="00AB56D0">
        <w:rPr>
          <w:rtl/>
        </w:rPr>
        <w:t>(1)</w:t>
      </w:r>
      <w:r>
        <w:rPr>
          <w:rFonts w:hint="cs"/>
          <w:rtl/>
        </w:rPr>
        <w:t xml:space="preserve">... </w:t>
      </w:r>
    </w:p>
    <w:p w:rsidR="00AA280A" w:rsidRDefault="00AA280A" w:rsidP="00807DBD">
      <w:pPr>
        <w:pStyle w:val="Ruller5"/>
        <w:rPr>
          <w:rtl/>
        </w:rPr>
      </w:pPr>
      <w:r w:rsidRPr="00AB56D0">
        <w:rPr>
          <w:rtl/>
        </w:rPr>
        <w:t>(2)</w:t>
      </w:r>
      <w:r>
        <w:rPr>
          <w:rFonts w:hint="cs"/>
          <w:rtl/>
        </w:rPr>
        <w:t xml:space="preserve"> </w:t>
      </w:r>
      <w:r w:rsidRPr="00AB56D0">
        <w:rPr>
          <w:rFonts w:hint="eastAsia"/>
          <w:rtl/>
        </w:rPr>
        <w:t>עסקה</w:t>
      </w:r>
      <w:r w:rsidRPr="00AB56D0">
        <w:rPr>
          <w:rtl/>
        </w:rPr>
        <w:t xml:space="preserve"> </w:t>
      </w:r>
      <w:r w:rsidRPr="00AB56D0">
        <w:rPr>
          <w:rFonts w:hint="eastAsia"/>
          <w:rtl/>
        </w:rPr>
        <w:t>כאמור</w:t>
      </w:r>
      <w:r w:rsidRPr="00AB56D0">
        <w:rPr>
          <w:rtl/>
        </w:rPr>
        <w:t xml:space="preserve"> </w:t>
      </w:r>
      <w:r w:rsidRPr="00AB56D0">
        <w:rPr>
          <w:rFonts w:hint="eastAsia"/>
          <w:rtl/>
        </w:rPr>
        <w:t>בפסקאות</w:t>
      </w:r>
      <w:r w:rsidRPr="00AB56D0">
        <w:rPr>
          <w:rtl/>
        </w:rPr>
        <w:t xml:space="preserve"> (2) </w:t>
      </w:r>
      <w:r w:rsidRPr="00AB56D0">
        <w:rPr>
          <w:rFonts w:hint="eastAsia"/>
          <w:rtl/>
        </w:rPr>
        <w:t>או</w:t>
      </w:r>
      <w:r w:rsidRPr="00AB56D0">
        <w:rPr>
          <w:rtl/>
        </w:rPr>
        <w:t xml:space="preserve"> (3) </w:t>
      </w:r>
      <w:r w:rsidRPr="00AB56D0">
        <w:rPr>
          <w:rFonts w:hint="eastAsia"/>
          <w:rtl/>
        </w:rPr>
        <w:t>שבהגדרה</w:t>
      </w:r>
      <w:r w:rsidRPr="00AB56D0">
        <w:rPr>
          <w:rtl/>
        </w:rPr>
        <w:t xml:space="preserve"> </w:t>
      </w:r>
      <w:r w:rsidR="00807DBD">
        <w:rPr>
          <w:rFonts w:hint="cs"/>
          <w:rtl/>
        </w:rPr>
        <w:t>'</w:t>
      </w:r>
      <w:r w:rsidRPr="00AB56D0">
        <w:rPr>
          <w:rFonts w:hint="eastAsia"/>
          <w:rtl/>
        </w:rPr>
        <w:t>עסקה</w:t>
      </w:r>
      <w:r w:rsidRPr="00AB56D0">
        <w:rPr>
          <w:rtl/>
        </w:rPr>
        <w:t xml:space="preserve"> </w:t>
      </w:r>
      <w:r w:rsidRPr="00AB56D0">
        <w:rPr>
          <w:rFonts w:hint="eastAsia"/>
          <w:rtl/>
        </w:rPr>
        <w:t>לתקופה</w:t>
      </w:r>
      <w:r w:rsidRPr="00AB56D0">
        <w:rPr>
          <w:rtl/>
        </w:rPr>
        <w:t xml:space="preserve"> </w:t>
      </w:r>
      <w:r w:rsidRPr="00AB56D0">
        <w:rPr>
          <w:rFonts w:hint="eastAsia"/>
          <w:rtl/>
        </w:rPr>
        <w:t>קצובה</w:t>
      </w:r>
      <w:r w:rsidR="00807DBD">
        <w:rPr>
          <w:rFonts w:hint="cs"/>
          <w:rtl/>
        </w:rPr>
        <w:t>'</w:t>
      </w:r>
      <w:r w:rsidRPr="00AB56D0">
        <w:rPr>
          <w:rtl/>
        </w:rPr>
        <w:t xml:space="preserve">, </w:t>
      </w:r>
      <w:r w:rsidRPr="00AB56D0">
        <w:rPr>
          <w:rFonts w:hint="eastAsia"/>
          <w:rtl/>
        </w:rPr>
        <w:t>ובלבד</w:t>
      </w:r>
      <w:r w:rsidRPr="00AB56D0">
        <w:rPr>
          <w:rtl/>
        </w:rPr>
        <w:t xml:space="preserve"> </w:t>
      </w:r>
      <w:r w:rsidRPr="00AB56D0">
        <w:rPr>
          <w:rFonts w:hint="eastAsia"/>
          <w:rtl/>
        </w:rPr>
        <w:t>שהתקיימו</w:t>
      </w:r>
      <w:r w:rsidRPr="00AB56D0">
        <w:rPr>
          <w:rtl/>
        </w:rPr>
        <w:t xml:space="preserve"> </w:t>
      </w:r>
      <w:r w:rsidRPr="00AB56D0">
        <w:rPr>
          <w:rFonts w:hint="eastAsia"/>
          <w:rtl/>
        </w:rPr>
        <w:t>כל</w:t>
      </w:r>
      <w:r w:rsidRPr="00AB56D0">
        <w:rPr>
          <w:rtl/>
        </w:rPr>
        <w:t xml:space="preserve"> </w:t>
      </w:r>
      <w:r w:rsidRPr="00AB56D0">
        <w:rPr>
          <w:rFonts w:hint="eastAsia"/>
          <w:rtl/>
        </w:rPr>
        <w:t>אלה</w:t>
      </w:r>
      <w:r w:rsidRPr="00AB56D0">
        <w:rPr>
          <w:rtl/>
        </w:rPr>
        <w:t xml:space="preserve">: </w:t>
      </w:r>
    </w:p>
    <w:p w:rsidR="00AA280A" w:rsidRDefault="00AA280A" w:rsidP="00AA280A">
      <w:pPr>
        <w:pStyle w:val="Ruller5"/>
        <w:rPr>
          <w:rtl/>
        </w:rPr>
      </w:pPr>
      <w:r w:rsidRPr="005C2283">
        <w:rPr>
          <w:rtl/>
        </w:rPr>
        <w:t>(</w:t>
      </w:r>
      <w:r w:rsidRPr="005C2283">
        <w:rPr>
          <w:rFonts w:hint="eastAsia"/>
          <w:rtl/>
        </w:rPr>
        <w:t>א</w:t>
      </w:r>
      <w:r w:rsidRPr="005C2283">
        <w:rPr>
          <w:rtl/>
        </w:rPr>
        <w:t>)</w:t>
      </w:r>
      <w:r>
        <w:rPr>
          <w:rFonts w:hint="cs"/>
          <w:rtl/>
        </w:rPr>
        <w:t xml:space="preserve"> </w:t>
      </w:r>
      <w:r w:rsidRPr="005C2283">
        <w:rPr>
          <w:rFonts w:hint="eastAsia"/>
          <w:rtl/>
        </w:rPr>
        <w:t>סכומי</w:t>
      </w:r>
      <w:r w:rsidRPr="005C2283">
        <w:rPr>
          <w:rtl/>
        </w:rPr>
        <w:t xml:space="preserve"> </w:t>
      </w:r>
      <w:r w:rsidRPr="005C2283">
        <w:rPr>
          <w:rFonts w:hint="eastAsia"/>
          <w:rtl/>
        </w:rPr>
        <w:t>התשלומים</w:t>
      </w:r>
      <w:r w:rsidRPr="005C2283">
        <w:rPr>
          <w:rtl/>
        </w:rPr>
        <w:t xml:space="preserve"> </w:t>
      </w:r>
      <w:r w:rsidRPr="005C2283">
        <w:rPr>
          <w:rFonts w:hint="eastAsia"/>
          <w:rtl/>
        </w:rPr>
        <w:t>שיחולו</w:t>
      </w:r>
      <w:r w:rsidRPr="005C2283">
        <w:rPr>
          <w:rtl/>
        </w:rPr>
        <w:t xml:space="preserve"> </w:t>
      </w:r>
      <w:r w:rsidRPr="005C2283">
        <w:rPr>
          <w:rFonts w:hint="eastAsia"/>
          <w:rtl/>
        </w:rPr>
        <w:t>לאחר</w:t>
      </w:r>
      <w:r w:rsidRPr="005C2283">
        <w:rPr>
          <w:rtl/>
        </w:rPr>
        <w:t xml:space="preserve"> </w:t>
      </w:r>
      <w:r w:rsidRPr="005C2283">
        <w:rPr>
          <w:rFonts w:hint="eastAsia"/>
          <w:rtl/>
        </w:rPr>
        <w:t>מועד</w:t>
      </w:r>
      <w:r w:rsidRPr="005C2283">
        <w:rPr>
          <w:rtl/>
        </w:rPr>
        <w:t xml:space="preserve"> </w:t>
      </w:r>
      <w:r w:rsidRPr="005C2283">
        <w:rPr>
          <w:rFonts w:hint="eastAsia"/>
          <w:rtl/>
        </w:rPr>
        <w:t>סיום</w:t>
      </w:r>
      <w:r w:rsidRPr="005C2283">
        <w:rPr>
          <w:rtl/>
        </w:rPr>
        <w:t xml:space="preserve"> </w:t>
      </w:r>
      <w:r w:rsidRPr="005C2283">
        <w:rPr>
          <w:rFonts w:hint="eastAsia"/>
          <w:rtl/>
        </w:rPr>
        <w:t>העסקה</w:t>
      </w:r>
      <w:r w:rsidRPr="005C2283">
        <w:rPr>
          <w:rtl/>
        </w:rPr>
        <w:t xml:space="preserve"> </w:t>
      </w:r>
      <w:r w:rsidRPr="005C2283">
        <w:rPr>
          <w:rFonts w:hint="eastAsia"/>
          <w:rtl/>
        </w:rPr>
        <w:t>או</w:t>
      </w:r>
      <w:r w:rsidRPr="005C2283">
        <w:rPr>
          <w:rtl/>
        </w:rPr>
        <w:t xml:space="preserve"> </w:t>
      </w:r>
      <w:r w:rsidRPr="005C2283">
        <w:rPr>
          <w:rFonts w:hint="eastAsia"/>
          <w:rtl/>
        </w:rPr>
        <w:t>ההתחייבות</w:t>
      </w:r>
      <w:r w:rsidRPr="005C2283">
        <w:rPr>
          <w:rtl/>
        </w:rPr>
        <w:t xml:space="preserve"> </w:t>
      </w:r>
      <w:proofErr w:type="spellStart"/>
      <w:r w:rsidRPr="005C2283">
        <w:rPr>
          <w:rFonts w:hint="eastAsia"/>
          <w:rtl/>
        </w:rPr>
        <w:t>ננקבו</w:t>
      </w:r>
      <w:proofErr w:type="spellEnd"/>
      <w:r w:rsidRPr="005C2283">
        <w:rPr>
          <w:rtl/>
        </w:rPr>
        <w:t xml:space="preserve"> </w:t>
      </w:r>
      <w:r w:rsidRPr="005C2283">
        <w:rPr>
          <w:rFonts w:hint="eastAsia"/>
          <w:rtl/>
        </w:rPr>
        <w:t>באופן</w:t>
      </w:r>
      <w:r w:rsidRPr="005C2283">
        <w:rPr>
          <w:rtl/>
        </w:rPr>
        <w:t xml:space="preserve"> </w:t>
      </w:r>
      <w:r w:rsidRPr="005C2283">
        <w:rPr>
          <w:rFonts w:hint="eastAsia"/>
          <w:rtl/>
        </w:rPr>
        <w:t>ברור</w:t>
      </w:r>
      <w:r w:rsidRPr="005C2283">
        <w:rPr>
          <w:rtl/>
        </w:rPr>
        <w:t xml:space="preserve"> </w:t>
      </w:r>
      <w:r w:rsidRPr="005C2283">
        <w:rPr>
          <w:rFonts w:hint="eastAsia"/>
          <w:rtl/>
        </w:rPr>
        <w:t>ומפורט</w:t>
      </w:r>
      <w:r w:rsidRPr="005C2283">
        <w:rPr>
          <w:rtl/>
        </w:rPr>
        <w:t xml:space="preserve"> </w:t>
      </w:r>
      <w:r w:rsidRPr="005C2283">
        <w:rPr>
          <w:rFonts w:hint="eastAsia"/>
          <w:rtl/>
        </w:rPr>
        <w:t>במסמך</w:t>
      </w:r>
      <w:r w:rsidRPr="005C2283">
        <w:rPr>
          <w:rtl/>
        </w:rPr>
        <w:t xml:space="preserve"> </w:t>
      </w:r>
      <w:r w:rsidRPr="005C2283">
        <w:rPr>
          <w:rFonts w:hint="eastAsia"/>
          <w:rtl/>
        </w:rPr>
        <w:t>בכתב</w:t>
      </w:r>
      <w:r w:rsidRPr="005C2283">
        <w:rPr>
          <w:rtl/>
        </w:rPr>
        <w:t xml:space="preserve"> </w:t>
      </w:r>
      <w:r w:rsidRPr="005C2283">
        <w:rPr>
          <w:rFonts w:hint="eastAsia"/>
          <w:rtl/>
        </w:rPr>
        <w:t>שנמסר</w:t>
      </w:r>
      <w:r w:rsidRPr="005C2283">
        <w:rPr>
          <w:rtl/>
        </w:rPr>
        <w:t xml:space="preserve"> </w:t>
      </w:r>
      <w:r w:rsidRPr="005C2283">
        <w:rPr>
          <w:rFonts w:hint="eastAsia"/>
          <w:rtl/>
        </w:rPr>
        <w:t>לצרכן</w:t>
      </w:r>
      <w:r w:rsidRPr="005C2283">
        <w:rPr>
          <w:rtl/>
        </w:rPr>
        <w:t xml:space="preserve"> </w:t>
      </w:r>
      <w:r w:rsidRPr="005C2283">
        <w:rPr>
          <w:rFonts w:hint="eastAsia"/>
          <w:rtl/>
        </w:rPr>
        <w:t>בעת</w:t>
      </w:r>
      <w:r w:rsidRPr="005C2283">
        <w:rPr>
          <w:rtl/>
        </w:rPr>
        <w:t xml:space="preserve"> </w:t>
      </w:r>
      <w:r w:rsidRPr="005C2283">
        <w:rPr>
          <w:rFonts w:hint="eastAsia"/>
          <w:rtl/>
        </w:rPr>
        <w:t>ההתקשרות</w:t>
      </w:r>
      <w:r w:rsidRPr="005C2283">
        <w:rPr>
          <w:rtl/>
        </w:rPr>
        <w:t xml:space="preserve"> </w:t>
      </w:r>
      <w:r w:rsidRPr="005C2283">
        <w:rPr>
          <w:rFonts w:hint="eastAsia"/>
          <w:rtl/>
        </w:rPr>
        <w:t>בין</w:t>
      </w:r>
      <w:r w:rsidRPr="005C2283">
        <w:rPr>
          <w:rtl/>
        </w:rPr>
        <w:t xml:space="preserve"> </w:t>
      </w:r>
      <w:r w:rsidRPr="005C2283">
        <w:rPr>
          <w:rFonts w:hint="eastAsia"/>
          <w:rtl/>
        </w:rPr>
        <w:t>העוסק</w:t>
      </w:r>
      <w:r w:rsidRPr="005C2283">
        <w:rPr>
          <w:rtl/>
        </w:rPr>
        <w:t xml:space="preserve"> </w:t>
      </w:r>
      <w:r w:rsidRPr="005C2283">
        <w:rPr>
          <w:rFonts w:hint="eastAsia"/>
          <w:rtl/>
        </w:rPr>
        <w:t>לצרכן</w:t>
      </w:r>
      <w:r>
        <w:rPr>
          <w:rFonts w:hint="cs"/>
          <w:rtl/>
        </w:rPr>
        <w:t>...</w:t>
      </w:r>
    </w:p>
    <w:p w:rsidR="00AA280A" w:rsidRPr="005C2283" w:rsidRDefault="00AA280A" w:rsidP="00AA280A">
      <w:pPr>
        <w:pStyle w:val="Ruller5"/>
        <w:rPr>
          <w:rtl/>
        </w:rPr>
      </w:pPr>
      <w:r w:rsidRPr="005C2283">
        <w:rPr>
          <w:rtl/>
        </w:rPr>
        <w:t>(</w:t>
      </w:r>
      <w:r w:rsidRPr="005C2283">
        <w:rPr>
          <w:rFonts w:hint="eastAsia"/>
          <w:rtl/>
        </w:rPr>
        <w:t>ב</w:t>
      </w:r>
      <w:r w:rsidRPr="005C2283">
        <w:rPr>
          <w:rtl/>
        </w:rPr>
        <w:t>)</w:t>
      </w:r>
      <w:r>
        <w:rPr>
          <w:rFonts w:hint="cs"/>
          <w:rtl/>
        </w:rPr>
        <w:t xml:space="preserve"> </w:t>
      </w:r>
      <w:r w:rsidRPr="005C2283">
        <w:rPr>
          <w:rFonts w:hint="eastAsia"/>
          <w:rtl/>
        </w:rPr>
        <w:t>ניתנה</w:t>
      </w:r>
      <w:r w:rsidRPr="005C2283">
        <w:rPr>
          <w:rtl/>
        </w:rPr>
        <w:t xml:space="preserve"> </w:t>
      </w:r>
      <w:r w:rsidRPr="005C2283">
        <w:rPr>
          <w:rFonts w:hint="eastAsia"/>
          <w:rtl/>
        </w:rPr>
        <w:t>לצרכן</w:t>
      </w:r>
      <w:r w:rsidRPr="005C2283">
        <w:rPr>
          <w:rtl/>
        </w:rPr>
        <w:t xml:space="preserve">, </w:t>
      </w:r>
      <w:r w:rsidRPr="005C2283">
        <w:rPr>
          <w:rFonts w:hint="eastAsia"/>
          <w:rtl/>
        </w:rPr>
        <w:t>בתקופת</w:t>
      </w:r>
      <w:r w:rsidRPr="005C2283">
        <w:rPr>
          <w:rtl/>
        </w:rPr>
        <w:t xml:space="preserve"> </w:t>
      </w:r>
      <w:r w:rsidRPr="005C2283">
        <w:rPr>
          <w:rFonts w:hint="eastAsia"/>
          <w:rtl/>
        </w:rPr>
        <w:t>ההודעה</w:t>
      </w:r>
      <w:r w:rsidRPr="005C2283">
        <w:rPr>
          <w:rtl/>
        </w:rPr>
        <w:t xml:space="preserve">, </w:t>
      </w:r>
      <w:r w:rsidRPr="005C2283">
        <w:rPr>
          <w:rFonts w:hint="eastAsia"/>
          <w:rtl/>
        </w:rPr>
        <w:t>הודעה</w:t>
      </w:r>
      <w:r w:rsidRPr="005C2283">
        <w:rPr>
          <w:rtl/>
        </w:rPr>
        <w:t xml:space="preserve"> </w:t>
      </w:r>
      <w:r w:rsidRPr="005C2283">
        <w:rPr>
          <w:rFonts w:hint="eastAsia"/>
          <w:rtl/>
        </w:rPr>
        <w:t>בהתאם</w:t>
      </w:r>
      <w:r w:rsidRPr="005C2283">
        <w:rPr>
          <w:rtl/>
        </w:rPr>
        <w:t xml:space="preserve"> </w:t>
      </w:r>
      <w:r w:rsidRPr="005C2283">
        <w:rPr>
          <w:rFonts w:hint="eastAsia"/>
          <w:rtl/>
        </w:rPr>
        <w:t>להוראות</w:t>
      </w:r>
      <w:r w:rsidRPr="005C2283">
        <w:rPr>
          <w:rtl/>
        </w:rPr>
        <w:t xml:space="preserve"> </w:t>
      </w:r>
      <w:r w:rsidRPr="005C2283">
        <w:rPr>
          <w:rFonts w:hint="eastAsia"/>
          <w:rtl/>
        </w:rPr>
        <w:t>סעיף</w:t>
      </w:r>
      <w:r w:rsidRPr="005C2283">
        <w:rPr>
          <w:rtl/>
        </w:rPr>
        <w:t xml:space="preserve"> </w:t>
      </w:r>
      <w:r w:rsidRPr="005C2283">
        <w:rPr>
          <w:rFonts w:hint="eastAsia"/>
          <w:rtl/>
        </w:rPr>
        <w:t>קטן</w:t>
      </w:r>
      <w:r w:rsidRPr="005C2283">
        <w:rPr>
          <w:rtl/>
        </w:rPr>
        <w:t xml:space="preserve"> (</w:t>
      </w:r>
      <w:r w:rsidRPr="005C2283">
        <w:rPr>
          <w:rFonts w:hint="eastAsia"/>
          <w:rtl/>
        </w:rPr>
        <w:t>ב</w:t>
      </w:r>
      <w:r w:rsidRPr="005C2283">
        <w:rPr>
          <w:rtl/>
        </w:rPr>
        <w:t xml:space="preserve">), </w:t>
      </w:r>
      <w:r w:rsidRPr="005C2283">
        <w:rPr>
          <w:rFonts w:hint="eastAsia"/>
          <w:rtl/>
        </w:rPr>
        <w:t>ובלבד</w:t>
      </w:r>
      <w:r w:rsidRPr="005C2283">
        <w:rPr>
          <w:rtl/>
        </w:rPr>
        <w:t xml:space="preserve"> </w:t>
      </w:r>
      <w:r w:rsidRPr="005C2283">
        <w:rPr>
          <w:rFonts w:hint="eastAsia"/>
          <w:rtl/>
        </w:rPr>
        <w:t>שההודעה</w:t>
      </w:r>
      <w:r w:rsidRPr="005C2283">
        <w:rPr>
          <w:rtl/>
        </w:rPr>
        <w:t xml:space="preserve"> </w:t>
      </w:r>
      <w:r w:rsidRPr="005C2283">
        <w:rPr>
          <w:rFonts w:hint="eastAsia"/>
          <w:rtl/>
        </w:rPr>
        <w:t>ניתנה</w:t>
      </w:r>
      <w:r w:rsidRPr="005C2283">
        <w:rPr>
          <w:rtl/>
        </w:rPr>
        <w:t xml:space="preserve"> </w:t>
      </w:r>
      <w:r w:rsidRPr="005C2283">
        <w:rPr>
          <w:rFonts w:hint="eastAsia"/>
          <w:rtl/>
        </w:rPr>
        <w:t>בכתב</w:t>
      </w:r>
      <w:r w:rsidRPr="005C2283">
        <w:rPr>
          <w:rtl/>
        </w:rPr>
        <w:t xml:space="preserve"> </w:t>
      </w:r>
      <w:r w:rsidRPr="005C2283">
        <w:rPr>
          <w:rFonts w:hint="eastAsia"/>
          <w:rtl/>
        </w:rPr>
        <w:t>ופורטו</w:t>
      </w:r>
      <w:r w:rsidRPr="005C2283">
        <w:rPr>
          <w:rtl/>
        </w:rPr>
        <w:t xml:space="preserve"> </w:t>
      </w:r>
      <w:r w:rsidRPr="005C2283">
        <w:rPr>
          <w:rFonts w:hint="eastAsia"/>
          <w:rtl/>
        </w:rPr>
        <w:t>בה</w:t>
      </w:r>
      <w:r w:rsidRPr="005C2283">
        <w:rPr>
          <w:rtl/>
        </w:rPr>
        <w:t xml:space="preserve"> </w:t>
      </w:r>
      <w:r w:rsidRPr="005C2283">
        <w:rPr>
          <w:rFonts w:hint="eastAsia"/>
          <w:rtl/>
        </w:rPr>
        <w:t>תנאי</w:t>
      </w:r>
      <w:r w:rsidRPr="005C2283">
        <w:rPr>
          <w:rtl/>
        </w:rPr>
        <w:t xml:space="preserve"> </w:t>
      </w:r>
      <w:r w:rsidRPr="005C2283">
        <w:rPr>
          <w:rFonts w:hint="eastAsia"/>
          <w:rtl/>
        </w:rPr>
        <w:t>העסקה</w:t>
      </w:r>
      <w:r>
        <w:rPr>
          <w:rFonts w:hint="cs"/>
          <w:rtl/>
        </w:rPr>
        <w:t>..."</w:t>
      </w:r>
    </w:p>
    <w:p w:rsidR="00AA280A" w:rsidRDefault="00AA280A" w:rsidP="00AA280A">
      <w:pPr>
        <w:pStyle w:val="Ruller41"/>
        <w:rPr>
          <w:rtl/>
        </w:rPr>
      </w:pPr>
    </w:p>
    <w:p w:rsidR="00AA280A" w:rsidRDefault="00722B5A" w:rsidP="00953D6F">
      <w:pPr>
        <w:pStyle w:val="Ruller41"/>
        <w:rPr>
          <w:rtl/>
        </w:rPr>
      </w:pPr>
      <w:r>
        <w:rPr>
          <w:rFonts w:hint="cs"/>
          <w:rtl/>
        </w:rPr>
        <w:t>7</w:t>
      </w:r>
      <w:r w:rsidR="00AA280A">
        <w:rPr>
          <w:rFonts w:hint="cs"/>
          <w:rtl/>
        </w:rPr>
        <w:t xml:space="preserve">. </w:t>
      </w:r>
      <w:r w:rsidR="00AA280A">
        <w:rPr>
          <w:rFonts w:hint="cs"/>
          <w:rtl/>
        </w:rPr>
        <w:tab/>
        <w:t xml:space="preserve">ייאמר כבר עתה, ועוד יפורט על כך בהמשך, כי הרקע לחקיקתו של סעיף 13א לחוק הגנת הצרכן היה הרצון לחזק את </w:t>
      </w:r>
      <w:proofErr w:type="spellStart"/>
      <w:r w:rsidR="00AA280A">
        <w:rPr>
          <w:rFonts w:hint="cs"/>
          <w:rtl/>
        </w:rPr>
        <w:t>ההגנות</w:t>
      </w:r>
      <w:proofErr w:type="spellEnd"/>
      <w:r w:rsidR="00AA280A">
        <w:rPr>
          <w:rFonts w:hint="cs"/>
          <w:rtl/>
        </w:rPr>
        <w:t xml:space="preserve"> המוענקות לצרכנים מפני הנחות והטבות אטרקטיביות הניתנות לתקופה מסוימת בלבד </w:t>
      </w:r>
      <w:r w:rsidR="00AA280A">
        <w:rPr>
          <w:rtl/>
        </w:rPr>
        <w:t>–</w:t>
      </w:r>
      <w:r w:rsidR="00AA280A">
        <w:rPr>
          <w:rFonts w:hint="cs"/>
          <w:rtl/>
        </w:rPr>
        <w:t xml:space="preserve"> על רקע החשש מפני "שגר ושכח", דהיינו מפני התופעה של המשך ההתקשרות במחיר הגבוה, מבלי שהצרכן יהיה מודע לכך. מטעם זה, נקבעו בחוק הסדרים מפורטים הנוגעים להגבלת האפשרות להארכה אוטומטית של ההתקשרות, וכן לשליחתן של הודעות ותזכורות לצרכן מבעוד מועד. </w:t>
      </w:r>
    </w:p>
    <w:p w:rsidR="00AA280A" w:rsidRDefault="00AA280A" w:rsidP="00AA280A">
      <w:pPr>
        <w:pStyle w:val="Ruller41"/>
        <w:rPr>
          <w:rtl/>
        </w:rPr>
      </w:pPr>
    </w:p>
    <w:p w:rsidR="00AA280A" w:rsidRPr="00B62928" w:rsidRDefault="00722B5A" w:rsidP="00953D6F">
      <w:pPr>
        <w:pStyle w:val="Ruller41"/>
        <w:rPr>
          <w:rFonts w:ascii="FrankRuehl" w:hAnsi="FrankRuehl"/>
          <w:sz w:val="28"/>
          <w:rtl/>
        </w:rPr>
      </w:pPr>
      <w:r>
        <w:rPr>
          <w:rFonts w:ascii="FrankRuehl" w:hAnsi="FrankRuehl" w:hint="cs"/>
          <w:color w:val="000000"/>
          <w:sz w:val="28"/>
          <w:rtl/>
        </w:rPr>
        <w:t>8</w:t>
      </w:r>
      <w:r w:rsidR="00AA280A">
        <w:rPr>
          <w:rFonts w:ascii="FrankRuehl" w:hAnsi="FrankRuehl" w:hint="cs"/>
          <w:color w:val="000000"/>
          <w:sz w:val="28"/>
          <w:rtl/>
        </w:rPr>
        <w:t>.</w:t>
      </w:r>
      <w:r w:rsidR="00AA280A">
        <w:rPr>
          <w:rFonts w:ascii="FrankRuehl" w:hAnsi="FrankRuehl" w:hint="cs"/>
          <w:color w:val="000000"/>
          <w:sz w:val="28"/>
          <w:rtl/>
        </w:rPr>
        <w:tab/>
      </w:r>
      <w:r w:rsidR="00AA280A">
        <w:rPr>
          <w:rFonts w:ascii="FrankRuehl" w:hAnsi="FrankRuehl"/>
          <w:color w:val="000000"/>
          <w:sz w:val="28"/>
          <w:rtl/>
        </w:rPr>
        <w:t>להשלמת התמונה</w:t>
      </w:r>
      <w:r w:rsidR="00AA280A">
        <w:rPr>
          <w:rFonts w:ascii="FrankRuehl" w:hAnsi="FrankRuehl" w:hint="cs"/>
          <w:color w:val="000000"/>
          <w:sz w:val="28"/>
          <w:rtl/>
        </w:rPr>
        <w:t xml:space="preserve"> יוער כי חיובו של לקוח </w:t>
      </w:r>
      <w:r w:rsidR="00AA280A">
        <w:rPr>
          <w:rFonts w:ascii="FrankRuehl" w:hAnsi="FrankRuehl"/>
          <w:color w:val="000000"/>
          <w:sz w:val="28"/>
          <w:rtl/>
        </w:rPr>
        <w:t>לאחר תום התקופה הקצובה</w:t>
      </w:r>
      <w:r w:rsidR="00AA280A">
        <w:rPr>
          <w:rFonts w:ascii="FrankRuehl" w:hAnsi="FrankRuehl" w:hint="cs"/>
          <w:color w:val="000000"/>
          <w:sz w:val="28"/>
          <w:rtl/>
        </w:rPr>
        <w:t xml:space="preserve"> ללא הסכמה מפורשת לכך </w:t>
      </w:r>
      <w:r w:rsidR="00AA280A">
        <w:rPr>
          <w:rFonts w:ascii="FrankRuehl" w:hAnsi="FrankRuehl"/>
          <w:color w:val="000000"/>
          <w:sz w:val="28"/>
          <w:rtl/>
        </w:rPr>
        <w:t>ושלא על</w:t>
      </w:r>
      <w:r w:rsidR="00953D6F">
        <w:rPr>
          <w:rFonts w:ascii="FrankRuehl" w:hAnsi="FrankRuehl" w:hint="cs"/>
          <w:color w:val="000000"/>
          <w:sz w:val="28"/>
          <w:rtl/>
        </w:rPr>
        <w:t>-</w:t>
      </w:r>
      <w:r w:rsidR="00AA280A" w:rsidRPr="00B62928">
        <w:rPr>
          <w:rFonts w:ascii="FrankRuehl" w:hAnsi="FrankRuehl"/>
          <w:sz w:val="28"/>
          <w:rtl/>
        </w:rPr>
        <w:t>פי </w:t>
      </w:r>
      <w:r w:rsidR="00AA280A" w:rsidRPr="00B62928">
        <w:rPr>
          <w:rFonts w:ascii="FrankRuehl" w:hAnsi="FrankRuehl" w:hint="eastAsia"/>
          <w:sz w:val="28"/>
          <w:rtl/>
        </w:rPr>
        <w:t>ה</w:t>
      </w:r>
      <w:r w:rsidR="00AA280A" w:rsidRPr="00B62928">
        <w:rPr>
          <w:rFonts w:ascii="FrankRuehl" w:hAnsi="FrankRuehl" w:hint="cs"/>
          <w:sz w:val="28"/>
          <w:rtl/>
        </w:rPr>
        <w:t>הסדר הקבוע ב</w:t>
      </w:r>
      <w:hyperlink r:id="rId9" w:history="1">
        <w:r w:rsidR="00AA280A" w:rsidRPr="00B62928">
          <w:rPr>
            <w:rStyle w:val="Hyperlink"/>
            <w:rFonts w:ascii="FrankRuehl" w:hAnsi="FrankRuehl"/>
            <w:color w:val="auto"/>
            <w:sz w:val="28"/>
            <w:u w:val="none"/>
            <w:rtl/>
          </w:rPr>
          <w:t>סעיף 13א(ד)</w:t>
        </w:r>
      </w:hyperlink>
      <w:r w:rsidR="00AA280A" w:rsidRPr="00B62928">
        <w:rPr>
          <w:rFonts w:ascii="FrankRuehl" w:hAnsi="FrankRuehl"/>
          <w:sz w:val="28"/>
        </w:rPr>
        <w:t> </w:t>
      </w:r>
      <w:r w:rsidR="00AA280A" w:rsidRPr="00B62928">
        <w:rPr>
          <w:rFonts w:ascii="FrankRuehl" w:hAnsi="FrankRuehl"/>
          <w:sz w:val="28"/>
          <w:rtl/>
        </w:rPr>
        <w:t>ל</w:t>
      </w:r>
      <w:hyperlink r:id="rId10" w:history="1">
        <w:r w:rsidR="00AA280A" w:rsidRPr="00B62928">
          <w:rPr>
            <w:rStyle w:val="Hyperlink"/>
            <w:rFonts w:ascii="FrankRuehl" w:hAnsi="FrankRuehl"/>
            <w:color w:val="auto"/>
            <w:sz w:val="28"/>
            <w:u w:val="none"/>
            <w:rtl/>
          </w:rPr>
          <w:t>חוק הגנת ה</w:t>
        </w:r>
        <w:r w:rsidR="00AA280A" w:rsidRPr="00B62928">
          <w:rPr>
            <w:rStyle w:val="Hyperlink"/>
            <w:rFonts w:ascii="FrankRuehl" w:hAnsi="FrankRuehl" w:hint="cs"/>
            <w:color w:val="auto"/>
            <w:sz w:val="28"/>
            <w:u w:val="none"/>
            <w:rtl/>
          </w:rPr>
          <w:t xml:space="preserve">צרכן עולה כדי </w:t>
        </w:r>
      </w:hyperlink>
      <w:r w:rsidR="00AA280A" w:rsidRPr="00B62928">
        <w:rPr>
          <w:rFonts w:ascii="FrankRuehl" w:hAnsi="FrankRuehl" w:hint="cs"/>
          <w:sz w:val="28"/>
          <w:rtl/>
        </w:rPr>
        <w:t xml:space="preserve">עוולה </w:t>
      </w:r>
      <w:r w:rsidR="00AA280A" w:rsidRPr="00B62928">
        <w:rPr>
          <w:rFonts w:ascii="FrankRuehl" w:hAnsi="FrankRuehl" w:hint="eastAsia"/>
          <w:sz w:val="28"/>
          <w:rtl/>
        </w:rPr>
        <w:t>לפי</w:t>
      </w:r>
      <w:r w:rsidR="00AA280A" w:rsidRPr="00B62928">
        <w:rPr>
          <w:rFonts w:ascii="FrankRuehl" w:hAnsi="FrankRuehl"/>
          <w:sz w:val="28"/>
          <w:rtl/>
        </w:rPr>
        <w:t xml:space="preserve"> </w:t>
      </w:r>
      <w:r w:rsidR="00AA280A" w:rsidRPr="00B62928">
        <w:rPr>
          <w:rFonts w:ascii="FrankRuehl" w:hAnsi="FrankRuehl" w:hint="eastAsia"/>
          <w:sz w:val="28"/>
          <w:rtl/>
        </w:rPr>
        <w:t>פקודת</w:t>
      </w:r>
      <w:r w:rsidR="00AA280A" w:rsidRPr="00B62928">
        <w:rPr>
          <w:rFonts w:ascii="FrankRuehl" w:hAnsi="FrankRuehl"/>
          <w:sz w:val="28"/>
          <w:rtl/>
        </w:rPr>
        <w:t xml:space="preserve"> </w:t>
      </w:r>
      <w:proofErr w:type="spellStart"/>
      <w:r w:rsidR="00AA280A" w:rsidRPr="00B62928">
        <w:rPr>
          <w:rFonts w:ascii="FrankRuehl" w:hAnsi="FrankRuehl" w:hint="eastAsia"/>
          <w:sz w:val="28"/>
          <w:rtl/>
        </w:rPr>
        <w:t>הנזיקין</w:t>
      </w:r>
      <w:proofErr w:type="spellEnd"/>
      <w:r w:rsidR="00AA280A" w:rsidRPr="00B62928">
        <w:rPr>
          <w:rFonts w:ascii="FrankRuehl" w:hAnsi="FrankRuehl"/>
          <w:sz w:val="28"/>
          <w:rtl/>
        </w:rPr>
        <w:t xml:space="preserve"> [</w:t>
      </w:r>
      <w:r w:rsidR="00AA280A" w:rsidRPr="00B62928">
        <w:rPr>
          <w:rFonts w:ascii="FrankRuehl" w:hAnsi="FrankRuehl" w:hint="eastAsia"/>
          <w:sz w:val="28"/>
          <w:rtl/>
        </w:rPr>
        <w:t>נוסח</w:t>
      </w:r>
      <w:r w:rsidR="00AA280A" w:rsidRPr="00B62928">
        <w:rPr>
          <w:rFonts w:ascii="FrankRuehl" w:hAnsi="FrankRuehl"/>
          <w:sz w:val="28"/>
          <w:rtl/>
        </w:rPr>
        <w:t xml:space="preserve"> </w:t>
      </w:r>
      <w:r w:rsidR="00AA280A" w:rsidRPr="00B62928">
        <w:rPr>
          <w:rFonts w:ascii="FrankRuehl" w:hAnsi="FrankRuehl" w:hint="eastAsia"/>
          <w:sz w:val="28"/>
          <w:rtl/>
        </w:rPr>
        <w:t>חדש</w:t>
      </w:r>
      <w:r w:rsidR="00AA280A" w:rsidRPr="00B62928">
        <w:rPr>
          <w:rFonts w:ascii="FrankRuehl" w:hAnsi="FrankRuehl"/>
          <w:sz w:val="28"/>
          <w:rtl/>
        </w:rPr>
        <w:t>]</w:t>
      </w:r>
      <w:r w:rsidR="00AA280A" w:rsidRPr="00B62928">
        <w:rPr>
          <w:rFonts w:ascii="FrankRuehl" w:hAnsi="FrankRuehl" w:hint="cs"/>
          <w:sz w:val="28"/>
          <w:rtl/>
        </w:rPr>
        <w:t xml:space="preserve"> (להלן: </w:t>
      </w:r>
      <w:r w:rsidR="00AA280A" w:rsidRPr="00B62928">
        <w:rPr>
          <w:rFonts w:ascii="Century" w:hAnsi="Century" w:cs="Miriam" w:hint="eastAsia"/>
          <w:b/>
          <w:spacing w:val="0"/>
          <w:szCs w:val="24"/>
          <w:rtl/>
        </w:rPr>
        <w:t>פקודת</w:t>
      </w:r>
      <w:r w:rsidR="00AA280A" w:rsidRPr="00B62928">
        <w:rPr>
          <w:rFonts w:ascii="Century" w:hAnsi="Century" w:cs="Miriam"/>
          <w:b/>
          <w:spacing w:val="0"/>
          <w:szCs w:val="24"/>
          <w:rtl/>
        </w:rPr>
        <w:t xml:space="preserve"> </w:t>
      </w:r>
      <w:proofErr w:type="spellStart"/>
      <w:r w:rsidR="00AA280A" w:rsidRPr="00B62928">
        <w:rPr>
          <w:rFonts w:ascii="Century" w:hAnsi="Century" w:cs="Miriam" w:hint="eastAsia"/>
          <w:b/>
          <w:spacing w:val="0"/>
          <w:szCs w:val="24"/>
          <w:rtl/>
        </w:rPr>
        <w:t>הנזיקין</w:t>
      </w:r>
      <w:proofErr w:type="spellEnd"/>
      <w:r w:rsidR="00AA280A" w:rsidRPr="00B62928">
        <w:rPr>
          <w:rFonts w:ascii="FrankRuehl" w:hAnsi="FrankRuehl" w:hint="cs"/>
          <w:sz w:val="28"/>
          <w:rtl/>
        </w:rPr>
        <w:t xml:space="preserve">). זאת, בהתאם לאמור בסעיף 31 לחוק. </w:t>
      </w:r>
    </w:p>
    <w:p w:rsidR="00AA280A" w:rsidRDefault="00AA280A" w:rsidP="00AA280A">
      <w:pPr>
        <w:pStyle w:val="Ruller41"/>
        <w:rPr>
          <w:rtl/>
        </w:rPr>
      </w:pPr>
    </w:p>
    <w:p w:rsidR="00AA280A" w:rsidRDefault="00722B5A" w:rsidP="00AA280A">
      <w:pPr>
        <w:pStyle w:val="Ruller41"/>
        <w:rPr>
          <w:rtl/>
        </w:rPr>
      </w:pPr>
      <w:r>
        <w:rPr>
          <w:rFonts w:hint="cs"/>
          <w:rtl/>
        </w:rPr>
        <w:t>9</w:t>
      </w:r>
      <w:r w:rsidR="00AA280A">
        <w:rPr>
          <w:rFonts w:hint="cs"/>
          <w:rtl/>
        </w:rPr>
        <w:t xml:space="preserve">. </w:t>
      </w:r>
      <w:r w:rsidR="00AA280A">
        <w:rPr>
          <w:rtl/>
        </w:rPr>
        <w:tab/>
      </w:r>
      <w:r w:rsidR="00AA280A">
        <w:rPr>
          <w:rFonts w:hint="cs"/>
          <w:rtl/>
        </w:rPr>
        <w:t xml:space="preserve">השאלות שעניינן פרשנות ההסדרים האמורים </w:t>
      </w:r>
      <w:r w:rsidR="00AA280A">
        <w:rPr>
          <w:rtl/>
        </w:rPr>
        <w:t>–</w:t>
      </w:r>
      <w:r w:rsidR="00AA280A">
        <w:rPr>
          <w:rFonts w:hint="cs"/>
          <w:rtl/>
        </w:rPr>
        <w:t xml:space="preserve"> ובאופן קונקרטי ביחס לדרכי היידוע המתחייבות על-פי החוק וביחס לתוצאה המשפטית של אי-עמידה בהן </w:t>
      </w:r>
      <w:r w:rsidR="00AA280A">
        <w:rPr>
          <w:rtl/>
        </w:rPr>
        <w:t>–</w:t>
      </w:r>
      <w:r w:rsidR="00AA280A">
        <w:rPr>
          <w:rFonts w:hint="cs"/>
          <w:rtl/>
        </w:rPr>
        <w:t xml:space="preserve"> הן שעומדות במרכז המקרה דנן, שפרטיו יובאו כעת.</w:t>
      </w:r>
    </w:p>
    <w:p w:rsidR="00AA280A" w:rsidRDefault="00AA280A" w:rsidP="00AA280A">
      <w:pPr>
        <w:pStyle w:val="Ruller41"/>
        <w:rPr>
          <w:rtl/>
        </w:rPr>
      </w:pPr>
    </w:p>
    <w:p w:rsidR="00AA280A" w:rsidRPr="00044568" w:rsidRDefault="00AA280A" w:rsidP="00AA280A">
      <w:pPr>
        <w:pStyle w:val="Ruller41"/>
        <w:rPr>
          <w:rFonts w:ascii="Century" w:hAnsi="Century" w:cs="Miriam"/>
          <w:b/>
          <w:spacing w:val="0"/>
          <w:szCs w:val="24"/>
          <w:rtl/>
        </w:rPr>
      </w:pPr>
      <w:r w:rsidRPr="00044568">
        <w:rPr>
          <w:rFonts w:ascii="Century" w:hAnsi="Century" w:cs="Miriam" w:hint="cs"/>
          <w:b/>
          <w:spacing w:val="0"/>
          <w:szCs w:val="24"/>
          <w:rtl/>
        </w:rPr>
        <w:t>עיקרי התשתית העובדתית וההליכים עד כה</w:t>
      </w:r>
    </w:p>
    <w:p w:rsidR="00AA280A" w:rsidRDefault="00AA280A" w:rsidP="00AA280A">
      <w:pPr>
        <w:pStyle w:val="Ruller41"/>
        <w:rPr>
          <w:rtl/>
        </w:rPr>
      </w:pPr>
    </w:p>
    <w:p w:rsidR="00AA280A" w:rsidRDefault="00722B5A" w:rsidP="00AA280A">
      <w:pPr>
        <w:pStyle w:val="Ruller41"/>
        <w:rPr>
          <w:rFonts w:ascii="Century" w:hAnsi="Century"/>
          <w:rtl/>
        </w:rPr>
      </w:pPr>
      <w:r>
        <w:rPr>
          <w:rFonts w:hint="cs"/>
          <w:rtl/>
        </w:rPr>
        <w:t>10</w:t>
      </w:r>
      <w:r w:rsidR="00AA280A">
        <w:rPr>
          <w:rFonts w:hint="cs"/>
          <w:rtl/>
        </w:rPr>
        <w:t>.</w:t>
      </w:r>
      <w:r w:rsidR="00AA280A">
        <w:rPr>
          <w:rFonts w:hint="cs"/>
          <w:rtl/>
        </w:rPr>
        <w:tab/>
        <w:t xml:space="preserve">המערערים בהליך זה הם לקוחותיה של המשיבה, חברת סלקום ישראל בע"מ (להלן: </w:t>
      </w:r>
      <w:r w:rsidR="00AA280A">
        <w:rPr>
          <w:rFonts w:ascii="Century" w:hAnsi="Century" w:cs="Miriam" w:hint="cs"/>
          <w:b/>
          <w:spacing w:val="0"/>
          <w:szCs w:val="24"/>
          <w:rtl/>
        </w:rPr>
        <w:t>סלקום</w:t>
      </w:r>
      <w:r w:rsidR="00AA280A">
        <w:rPr>
          <w:rFonts w:ascii="Century" w:hAnsi="Century" w:hint="cs"/>
          <w:rtl/>
        </w:rPr>
        <w:t xml:space="preserve">). המערערים התקשרו עם סלקום בחוזה לרכישה של חבילת שירותי תקשורת במסגרת תכנית המכונה "סלקום </w:t>
      </w:r>
      <w:proofErr w:type="spellStart"/>
      <w:r w:rsidR="00AA280A">
        <w:rPr>
          <w:rFonts w:ascii="Century" w:hAnsi="Century" w:hint="cs"/>
          <w:rtl/>
        </w:rPr>
        <w:t>טריפל</w:t>
      </w:r>
      <w:proofErr w:type="spellEnd"/>
      <w:r w:rsidR="00AA280A">
        <w:rPr>
          <w:rFonts w:ascii="Century" w:hAnsi="Century" w:hint="cs"/>
          <w:rtl/>
        </w:rPr>
        <w:t xml:space="preserve">". בעיקרו של דבר, במסגרת התקשרות זו, הוסכם על הענקת הטבה למשך תקופה קצובה של 12 חודשים שבה תסופק חבילת שירותי התקשורת במחיר מוזל של 149 שקלים בחודש (במקום 169 שקלים). כמו כן, הוסכם כי במהלך תקופת ההטבה האמורה, המערערים לא יחויבו בעלות של 29 שקלים עבור השכרתו של ממיר נוסף </w:t>
      </w:r>
      <w:r w:rsidR="00AA280A">
        <w:rPr>
          <w:rFonts w:hint="cs"/>
          <w:rtl/>
        </w:rPr>
        <w:t>(מעבר לממיר אחד שהושכר למנויי התכנית ללא עלות)</w:t>
      </w:r>
      <w:r w:rsidR="00AA280A">
        <w:rPr>
          <w:rFonts w:ascii="Century" w:hAnsi="Century" w:hint="cs"/>
          <w:rtl/>
        </w:rPr>
        <w:t xml:space="preserve">. בהמשך לכך, עם סיום תקופת ההטבה, החלה סלקום לחייב את המערערים בסכום של 169 שקלים בחודש עבור חבילת שירותי התקשורת וכן בסכום של 29 שקלים בחודש עבור השכרתו של הממיר הנוסף. </w:t>
      </w:r>
    </w:p>
    <w:p w:rsidR="00AA280A" w:rsidRPr="00476E98" w:rsidRDefault="00AA280A" w:rsidP="00AA280A">
      <w:pPr>
        <w:pStyle w:val="Ruller41"/>
        <w:rPr>
          <w:rFonts w:ascii="Century" w:hAnsi="Century"/>
          <w:rtl/>
        </w:rPr>
      </w:pPr>
    </w:p>
    <w:p w:rsidR="00AA280A" w:rsidRDefault="00722B5A" w:rsidP="00953D6F">
      <w:pPr>
        <w:pStyle w:val="Ruller41"/>
        <w:rPr>
          <w:rtl/>
        </w:rPr>
      </w:pPr>
      <w:r>
        <w:rPr>
          <w:rFonts w:hint="cs"/>
          <w:rtl/>
        </w:rPr>
        <w:t>11</w:t>
      </w:r>
      <w:r w:rsidR="00AA280A">
        <w:rPr>
          <w:rFonts w:hint="cs"/>
          <w:rtl/>
        </w:rPr>
        <w:t xml:space="preserve">. </w:t>
      </w:r>
      <w:r w:rsidR="00AA280A">
        <w:rPr>
          <w:rFonts w:hint="cs"/>
          <w:rtl/>
        </w:rPr>
        <w:tab/>
        <w:t xml:space="preserve">מקורו של הערעור דנן בבקשה לאישורה של תובענה ייצוגית שהוגשה על-ידי המערערים נגד </w:t>
      </w:r>
      <w:r w:rsidR="00953D6F">
        <w:rPr>
          <w:rFonts w:hint="cs"/>
          <w:rtl/>
        </w:rPr>
        <w:t>סלקום</w:t>
      </w:r>
      <w:r w:rsidR="00AA280A">
        <w:rPr>
          <w:rFonts w:hint="cs"/>
          <w:rtl/>
        </w:rPr>
        <w:t xml:space="preserve"> בגין העלאת המחירים המתוארת לעיל</w:t>
      </w:r>
      <w:r w:rsidR="00AA280A">
        <w:rPr>
          <w:rFonts w:ascii="Century" w:hAnsi="Century" w:hint="cs"/>
          <w:rtl/>
        </w:rPr>
        <w:t xml:space="preserve"> (ת"צ 73252-01-18, </w:t>
      </w:r>
      <w:r w:rsidR="00953D6F">
        <w:rPr>
          <w:rFonts w:ascii="Century" w:hAnsi="Century" w:hint="cs"/>
          <w:rtl/>
        </w:rPr>
        <w:t>סגנית הנשיא</w:t>
      </w:r>
      <w:r w:rsidR="00AA280A">
        <w:rPr>
          <w:rFonts w:ascii="Century" w:hAnsi="Century" w:hint="cs"/>
          <w:rtl/>
        </w:rPr>
        <w:t xml:space="preserve"> </w:t>
      </w:r>
      <w:r w:rsidR="00AA280A">
        <w:rPr>
          <w:rFonts w:ascii="Century" w:hAnsi="Century" w:cs="Miriam" w:hint="cs"/>
          <w:b/>
          <w:spacing w:val="0"/>
          <w:szCs w:val="24"/>
          <w:rtl/>
        </w:rPr>
        <w:t>ג' כנפי-שטייניץ</w:t>
      </w:r>
      <w:r w:rsidR="00AA280A">
        <w:rPr>
          <w:rFonts w:ascii="Century" w:hAnsi="Century" w:hint="cs"/>
          <w:rtl/>
        </w:rPr>
        <w:t>)</w:t>
      </w:r>
      <w:r w:rsidR="00AA280A">
        <w:rPr>
          <w:rFonts w:hint="cs"/>
          <w:rtl/>
        </w:rPr>
        <w:t xml:space="preserve">. בתמצית, בבקשה טענו המערערים כי סלקום העלתה שלא כדין את מחירה של חבילת שירותי התקשורת שסיפקה להם. זאת, בתום תקופת הטבה של 12 חודשים שבמהלכה סופקו להם השירותים האמורים במחיר מוזל, ומבלי </w:t>
      </w:r>
      <w:r w:rsidR="00953D6F">
        <w:rPr>
          <w:rFonts w:hint="cs"/>
          <w:rtl/>
        </w:rPr>
        <w:t>שסלקום מסרה הודעה על השינוי,</w:t>
      </w:r>
      <w:r w:rsidR="00AA280A">
        <w:rPr>
          <w:rFonts w:hint="cs"/>
          <w:rtl/>
        </w:rPr>
        <w:t xml:space="preserve"> בהתאם להוראותיו של סעיף 13א לחוק. </w:t>
      </w:r>
    </w:p>
    <w:p w:rsidR="00AA280A" w:rsidRDefault="00AA280A" w:rsidP="00AA280A">
      <w:pPr>
        <w:pStyle w:val="Ruller41"/>
        <w:rPr>
          <w:rtl/>
        </w:rPr>
      </w:pPr>
    </w:p>
    <w:p w:rsidR="00AA280A" w:rsidRDefault="00722B5A" w:rsidP="00AA280A">
      <w:pPr>
        <w:pStyle w:val="Ruller41"/>
        <w:rPr>
          <w:rtl/>
        </w:rPr>
      </w:pPr>
      <w:r>
        <w:rPr>
          <w:rFonts w:hint="cs"/>
          <w:rtl/>
        </w:rPr>
        <w:t>12</w:t>
      </w:r>
      <w:r w:rsidR="00AA280A">
        <w:rPr>
          <w:rFonts w:hint="cs"/>
          <w:rtl/>
        </w:rPr>
        <w:t>.</w:t>
      </w:r>
      <w:r w:rsidR="00AA280A">
        <w:rPr>
          <w:rFonts w:hint="cs"/>
          <w:rtl/>
        </w:rPr>
        <w:tab/>
        <w:t xml:space="preserve">ליתר דיוק, בקשת האישור כללה שתי עילות שונות בקשר לכך. העילה הראשונה נסבה על השינוי במחיר של חבילת שירותי התקשורת של סלקום (להלן: </w:t>
      </w:r>
      <w:r w:rsidR="00AA280A" w:rsidRPr="00F00545">
        <w:rPr>
          <w:rFonts w:ascii="Century" w:hAnsi="Century" w:cs="Miriam" w:hint="eastAsia"/>
          <w:b/>
          <w:spacing w:val="0"/>
          <w:szCs w:val="24"/>
          <w:rtl/>
        </w:rPr>
        <w:t>העילה</w:t>
      </w:r>
      <w:r w:rsidR="00AA280A" w:rsidRPr="00F00545">
        <w:rPr>
          <w:rFonts w:ascii="Century" w:hAnsi="Century" w:cs="Miriam"/>
          <w:b/>
          <w:spacing w:val="0"/>
          <w:szCs w:val="24"/>
          <w:rtl/>
        </w:rPr>
        <w:t xml:space="preserve"> </w:t>
      </w:r>
      <w:r w:rsidR="00AA280A" w:rsidRPr="00F00545">
        <w:rPr>
          <w:rFonts w:ascii="Century" w:hAnsi="Century" w:cs="Miriam" w:hint="eastAsia"/>
          <w:b/>
          <w:spacing w:val="0"/>
          <w:szCs w:val="24"/>
          <w:rtl/>
        </w:rPr>
        <w:t>הראשונה</w:t>
      </w:r>
      <w:r w:rsidR="00AA280A">
        <w:rPr>
          <w:rFonts w:hint="cs"/>
          <w:rtl/>
        </w:rPr>
        <w:t xml:space="preserve">). העילה השנייה נסבה על מחיר השכרתו של הממיר הנוסף (להלן: </w:t>
      </w:r>
      <w:r w:rsidR="00AA280A" w:rsidRPr="00F00545">
        <w:rPr>
          <w:rFonts w:ascii="Century" w:hAnsi="Century" w:cs="Miriam" w:hint="eastAsia"/>
          <w:b/>
          <w:spacing w:val="0"/>
          <w:szCs w:val="24"/>
          <w:rtl/>
        </w:rPr>
        <w:t>העילה</w:t>
      </w:r>
      <w:r w:rsidR="00AA280A" w:rsidRPr="00F00545">
        <w:rPr>
          <w:rFonts w:ascii="Century" w:hAnsi="Century" w:cs="Miriam"/>
          <w:b/>
          <w:spacing w:val="0"/>
          <w:szCs w:val="24"/>
          <w:rtl/>
        </w:rPr>
        <w:t xml:space="preserve"> </w:t>
      </w:r>
      <w:r w:rsidR="00AA280A" w:rsidRPr="00F00545">
        <w:rPr>
          <w:rFonts w:ascii="Century" w:hAnsi="Century" w:cs="Miriam" w:hint="eastAsia"/>
          <w:b/>
          <w:spacing w:val="0"/>
          <w:szCs w:val="24"/>
          <w:rtl/>
        </w:rPr>
        <w:lastRenderedPageBreak/>
        <w:t>השנייה</w:t>
      </w:r>
      <w:r w:rsidR="00AA280A">
        <w:rPr>
          <w:rFonts w:hint="cs"/>
          <w:rtl/>
        </w:rPr>
        <w:t>).  כפי שיפורט בהמשך הדברים, בית המשפט המחוזי קיבל את הבקשה לאישור תובענה ייצוגית ביחס לעילה השנייה בלבד.</w:t>
      </w:r>
    </w:p>
    <w:p w:rsidR="00AA280A" w:rsidRDefault="00AA280A" w:rsidP="00AA280A">
      <w:pPr>
        <w:pStyle w:val="Ruller41"/>
        <w:rPr>
          <w:rtl/>
        </w:rPr>
      </w:pPr>
    </w:p>
    <w:p w:rsidR="00AA280A" w:rsidRDefault="00722B5A" w:rsidP="00AA280A">
      <w:pPr>
        <w:pStyle w:val="Ruller41"/>
        <w:rPr>
          <w:rtl/>
        </w:rPr>
      </w:pPr>
      <w:r>
        <w:rPr>
          <w:rFonts w:hint="cs"/>
          <w:rtl/>
        </w:rPr>
        <w:t>13</w:t>
      </w:r>
      <w:r w:rsidR="00AA280A">
        <w:rPr>
          <w:rFonts w:hint="cs"/>
          <w:rtl/>
        </w:rPr>
        <w:t>.</w:t>
      </w:r>
      <w:r w:rsidR="00AA280A">
        <w:rPr>
          <w:rFonts w:hint="cs"/>
          <w:rtl/>
        </w:rPr>
        <w:tab/>
        <w:t xml:space="preserve">בבקשתם טענו המערערים כי התקשרותם עם סלקום היא "עסקה לתקופה קצובה", וכי בהתאם להוראותיו של סעיף 13א(ב) לחוק סלקום הייתה מחויבת לשלוח להם מספר הודעות על "מועד סיום העסקה או ההתחייבות", הוא המועד שבו עלה המחיר והסתיימה תקופת ההטבה. בקשר לכך נטען כי על-פי סעיף 13א(ב) רישא לחוק היה על סלקום לשלוח "הודעה סטטוטורית" נפרדת ועצמאית הכוללת את המידע על מועד הסיום האמור, במהלך תקופת ההודעה הנזכרת. זאת, בנוסף לאזכור מועד ההתקשרות במחיר המוזל באמצעים המשלימים הנזכרים סעיף 13א(ב) סיפא </w:t>
      </w:r>
      <w:r w:rsidR="00AA280A">
        <w:rPr>
          <w:rtl/>
        </w:rPr>
        <w:t>–</w:t>
      </w:r>
      <w:r w:rsidR="00AA280A">
        <w:rPr>
          <w:rFonts w:hint="cs"/>
          <w:rtl/>
        </w:rPr>
        <w:t xml:space="preserve"> בחוזה ההתקשרות, באותיות ברורות ומודגשות במסגרת שלוש החשבוניות הא</w:t>
      </w:r>
      <w:r w:rsidR="00953D6F">
        <w:rPr>
          <w:rFonts w:hint="cs"/>
          <w:rtl/>
        </w:rPr>
        <w:t>חרונות, וכן במסרון לטלפון הנייד</w:t>
      </w:r>
      <w:r w:rsidR="00AA280A">
        <w:rPr>
          <w:rFonts w:hint="cs"/>
          <w:rtl/>
        </w:rPr>
        <w:t xml:space="preserve">. </w:t>
      </w:r>
    </w:p>
    <w:p w:rsidR="00AA280A" w:rsidRDefault="00AA280A" w:rsidP="00AA280A">
      <w:pPr>
        <w:pStyle w:val="Ruller41"/>
        <w:rPr>
          <w:rtl/>
        </w:rPr>
      </w:pPr>
    </w:p>
    <w:p w:rsidR="00AA280A" w:rsidRDefault="00722B5A" w:rsidP="00807DBD">
      <w:pPr>
        <w:pStyle w:val="Ruller41"/>
        <w:rPr>
          <w:rtl/>
        </w:rPr>
      </w:pPr>
      <w:r>
        <w:rPr>
          <w:rFonts w:hint="cs"/>
          <w:rtl/>
        </w:rPr>
        <w:t>14</w:t>
      </w:r>
      <w:r w:rsidR="00AA280A">
        <w:rPr>
          <w:rFonts w:hint="cs"/>
          <w:rtl/>
        </w:rPr>
        <w:t>.</w:t>
      </w:r>
      <w:r w:rsidR="00AA280A">
        <w:rPr>
          <w:rFonts w:hint="cs"/>
          <w:rtl/>
        </w:rPr>
        <w:tab/>
        <w:t>בהמשך לכך, בהתייחס לעליית מחירה של חבילת התקשורת, המערערים טענו כי לא נשלח</w:t>
      </w:r>
      <w:r w:rsidR="00953D6F">
        <w:rPr>
          <w:rFonts w:hint="cs"/>
          <w:rtl/>
        </w:rPr>
        <w:t>ה</w:t>
      </w:r>
      <w:r w:rsidR="00AA280A">
        <w:rPr>
          <w:rFonts w:hint="cs"/>
          <w:rtl/>
        </w:rPr>
        <w:t xml:space="preserve"> להם ההודעה הסטטוטורית הנפרדת המחויבת על</w:t>
      </w:r>
      <w:r w:rsidR="00953D6F">
        <w:rPr>
          <w:rFonts w:hint="cs"/>
          <w:rtl/>
        </w:rPr>
        <w:t>-</w:t>
      </w:r>
      <w:r w:rsidR="00AA280A">
        <w:rPr>
          <w:rFonts w:hint="cs"/>
          <w:rtl/>
        </w:rPr>
        <w:t>פי החוק, ואף לא המסרון הנדרש כחלק מההודעות המשלימות. עוד נטען, כי ביחס לתחילת החיוב בגין הממיר הנוסף לא נשלחה להם הודעה כלשהי. לשיטתם של המערערים, במצב דברים זה השינוי בתנאי העסקה בשני היבטים אלו הוא חסר תוקף ובטל. על</w:t>
      </w:r>
      <w:r w:rsidR="00807DBD">
        <w:rPr>
          <w:rFonts w:hint="cs"/>
          <w:rtl/>
        </w:rPr>
        <w:t xml:space="preserve"> </w:t>
      </w:r>
      <w:r w:rsidR="00AA280A">
        <w:rPr>
          <w:rFonts w:hint="cs"/>
          <w:rtl/>
        </w:rPr>
        <w:t>כן, כך המערערים הוסיפו וטענו, הם זכאים להשבת הכספים העודפים שנגבו מהם שלא כדין, החל ממועד סיום המחיר המוזל. עוד טענו המערערים כי הפרת הוראותיו</w:t>
      </w:r>
      <w:r w:rsidR="00064FE5">
        <w:rPr>
          <w:rFonts w:hint="cs"/>
          <w:rtl/>
        </w:rPr>
        <w:t xml:space="preserve"> האמורות של חוק הגנת הצרכן מגבש</w:t>
      </w:r>
      <w:r w:rsidR="00AA280A">
        <w:rPr>
          <w:rFonts w:hint="cs"/>
          <w:rtl/>
        </w:rPr>
        <w:t xml:space="preserve">ת עוולה אזרחית בהתאם לסעיף 31 לחוק זה, כמו גם עוולה של הפרת חובה חקוקה לפי סעיף </w:t>
      </w:r>
      <w:r w:rsidR="00953D6F">
        <w:rPr>
          <w:rFonts w:hint="cs"/>
          <w:rtl/>
        </w:rPr>
        <w:t>63</w:t>
      </w:r>
      <w:r w:rsidR="00AA280A">
        <w:rPr>
          <w:rFonts w:hint="cs"/>
          <w:rtl/>
        </w:rPr>
        <w:t xml:space="preserve"> לפקודת </w:t>
      </w:r>
      <w:proofErr w:type="spellStart"/>
      <w:r w:rsidR="00AA280A">
        <w:rPr>
          <w:rFonts w:hint="cs"/>
          <w:rtl/>
        </w:rPr>
        <w:t>הנזיקין</w:t>
      </w:r>
      <w:proofErr w:type="spellEnd"/>
      <w:r w:rsidR="00AA280A">
        <w:rPr>
          <w:rFonts w:hint="cs"/>
          <w:rtl/>
        </w:rPr>
        <w:t xml:space="preserve">, וכן מקימות עילת תביעה מכוח דיני עשיית עושר ולא במשפט. המערערים ביקשו לייצג קבוצה המונה את כלל לקוחותיה של סלקום המנויים (או שהיו מנויים) על התכנית האמורה, אשר לא קיבלו הודעות כנדרש לפי סעיף 13א לחוק. במישור האופרטיבי, עתרו המערערים להשבת כל סכום שנגבה מהם לטענתם ביתר וכן למתן הוראה לסלקום ליידע את לקוחותיה בתום תקופת ההטבה כנדרש בחוק. </w:t>
      </w:r>
    </w:p>
    <w:p w:rsidR="00AA280A" w:rsidRDefault="00AA280A" w:rsidP="00AA280A">
      <w:pPr>
        <w:pStyle w:val="Ruller41"/>
        <w:rPr>
          <w:rtl/>
        </w:rPr>
      </w:pPr>
    </w:p>
    <w:p w:rsidR="00AA280A" w:rsidRDefault="00722B5A" w:rsidP="00AA280A">
      <w:pPr>
        <w:pStyle w:val="Ruller41"/>
        <w:rPr>
          <w:rtl/>
        </w:rPr>
      </w:pPr>
      <w:r>
        <w:rPr>
          <w:rFonts w:hint="cs"/>
          <w:rtl/>
        </w:rPr>
        <w:t>15</w:t>
      </w:r>
      <w:r w:rsidR="00AA280A">
        <w:rPr>
          <w:rFonts w:hint="cs"/>
          <w:rtl/>
        </w:rPr>
        <w:t>.</w:t>
      </w:r>
      <w:r w:rsidR="00AA280A">
        <w:rPr>
          <w:rFonts w:hint="cs"/>
          <w:rtl/>
        </w:rPr>
        <w:tab/>
        <w:t xml:space="preserve">מנגד, סלקום טענה כי הבקשה לאישור תובענה ייצוגית אינה מגלה כל עילה. סלקום טענה כי היא יידעה את המערערים ביחס לשינוי שחל בהתאם לתנאי העסקה המוסכמים במעמד ההתקשרות בחוזה; בכל חשבונית חודשית שנשלחה (ואשר צוינו בה פרטי התכנית העיקריים, ובכלל זה שהמחיר של חבילת השירותים צפוי לעלות לאחר 12 חודשים); בהודעות מובלטות ומודגשות בשלוש החשבוניות האחרונות טרם עדכון המחיר; וכן במסרון שנשלח 21 ימים לפני סיום תקופת ההטבה. טענתה העיקרית של סלקום הייתה אפוא, כי בניגוד לעמדתם של המערערים, אין צורך במתן "הודעה סטטוטורית" נפרדת מעבר לאלו שנשלחו. באשר להשכרתם של הממירים הנוספים טענה </w:t>
      </w:r>
      <w:r w:rsidR="00AA280A">
        <w:rPr>
          <w:rFonts w:hint="cs"/>
          <w:rtl/>
        </w:rPr>
        <w:lastRenderedPageBreak/>
        <w:t>סלקום כי סעיף 13א לחוק כלל אינו חל על הטבה מסוג זה. בקשר לכך נטען כי הטבה זו אינה חלק מתנאי התכנית שהוצעה ללקוחות, וכי היא ניתנה לפי שיקול דעתו של נציג המכירות. על כן, כך נטען, היא נכנסת לגדר החריג בהגד</w:t>
      </w:r>
      <w:r w:rsidR="00064FE5">
        <w:rPr>
          <w:rFonts w:hint="cs"/>
          <w:rtl/>
        </w:rPr>
        <w:t xml:space="preserve">רת "עסקה לתקופה קצובה" הקבוע </w:t>
      </w:r>
      <w:r w:rsidR="00AA280A">
        <w:rPr>
          <w:rFonts w:hint="cs"/>
          <w:rtl/>
        </w:rPr>
        <w:t xml:space="preserve">בסעיף 13א(א)(2) סיפא לחוק, שעניינו "עסקה שבמהלכה, לתקופה מוגבלת ובלא כל תנאי, הוזיל העוסק את מחיר הטובין או השירותים, או הציע הטבה אחרת". עוד נטען כי גם אם הייתה חובת הודעה ביחס לחיוב בגין הממירים הנוספים, הרי שזו מולאה כדין (בחשבוניות וכן במסרון). לבסוף, סלקום הוסיפה וטענה כי גם אם נפל פגם במתן ההודעה, אין המערערים זכאים לסעד שהתבקש על-ידם. בנקודה זו הטעימה סלקום כי כדי לזכות בסעד זה על המערערים להצביע על קשר סיבתי בין הפגמים הנטענים לבין הנזק שלכאורה נגרם להם </w:t>
      </w:r>
      <w:r w:rsidR="00AA280A">
        <w:rPr>
          <w:rtl/>
        </w:rPr>
        <w:t>–</w:t>
      </w:r>
      <w:r w:rsidR="00AA280A">
        <w:rPr>
          <w:rFonts w:hint="cs"/>
          <w:rtl/>
        </w:rPr>
        <w:t xml:space="preserve"> קשר שנטען כי לא מתקיים בנסיבות העניין. </w:t>
      </w:r>
    </w:p>
    <w:p w:rsidR="00AA280A" w:rsidRDefault="00AA280A" w:rsidP="00AA280A">
      <w:pPr>
        <w:pStyle w:val="Ruller41"/>
        <w:rPr>
          <w:rtl/>
        </w:rPr>
      </w:pPr>
    </w:p>
    <w:p w:rsidR="00AA280A" w:rsidRDefault="00722B5A" w:rsidP="00AA280A">
      <w:pPr>
        <w:pStyle w:val="Ruller41"/>
        <w:rPr>
          <w:rtl/>
        </w:rPr>
      </w:pPr>
      <w:r>
        <w:rPr>
          <w:rFonts w:hint="cs"/>
          <w:rtl/>
        </w:rPr>
        <w:t>16</w:t>
      </w:r>
      <w:r w:rsidR="00AA280A">
        <w:rPr>
          <w:rFonts w:hint="cs"/>
          <w:rtl/>
        </w:rPr>
        <w:t xml:space="preserve">. </w:t>
      </w:r>
      <w:r w:rsidR="00AA280A">
        <w:rPr>
          <w:rFonts w:hint="cs"/>
          <w:rtl/>
        </w:rPr>
        <w:tab/>
        <w:t xml:space="preserve">כאמור, בית המשפט המחוזי קיבל את הבקשה בחלקה בלבד. בית המשפט המחוזי קבע כי קמה לכאורה זכות לסעד בגדרה של העילה השנייה (חבילת הממירים), אך לא בגדרה של העילה הראשונה (חבילת שירותי התקשורת), כמפורט להלן. </w:t>
      </w:r>
    </w:p>
    <w:p w:rsidR="00AA280A" w:rsidRDefault="00AA280A" w:rsidP="00AA280A">
      <w:pPr>
        <w:pStyle w:val="Ruller41"/>
        <w:rPr>
          <w:rtl/>
        </w:rPr>
      </w:pPr>
    </w:p>
    <w:p w:rsidR="00AA280A" w:rsidRPr="00DE6333" w:rsidRDefault="00722B5A" w:rsidP="00B16A82">
      <w:pPr>
        <w:pStyle w:val="Ruller41"/>
        <w:rPr>
          <w:rtl/>
        </w:rPr>
      </w:pPr>
      <w:r>
        <w:rPr>
          <w:rFonts w:hint="cs"/>
          <w:rtl/>
        </w:rPr>
        <w:t>17</w:t>
      </w:r>
      <w:r w:rsidR="00AA280A">
        <w:rPr>
          <w:rFonts w:hint="cs"/>
          <w:rtl/>
        </w:rPr>
        <w:t>.</w:t>
      </w:r>
      <w:r w:rsidR="00AA280A">
        <w:rPr>
          <w:rFonts w:hint="cs"/>
          <w:rtl/>
        </w:rPr>
        <w:tab/>
        <w:t>ביחס לעילה הראשונה, בית המשפט המחוזי הדגיש כי אין מחלוקת על כך שהעסקה שנסבה על חבילת שירותי התקשורת היא "עסקה לתקופה קצובה" הגוררת חובת יידוע בהתאם להוראות סעיף 13א(ב) לחוק. על רקע זה, בית המשפט המחוזי מצא לקבל את טענת המערערים בקבעו כי בנסיבות אלו, בשים לב ללשון החוק ולתכליתו ובהתאם לרישא של סעיף 13א(ב) לחוק, היה על סלקום למסור ללקוחותיה הודעה נפרדת בדבר ההתייקרות הצפויה, דבר שלא נעשה. לצד זאת, בית המשפט המחוזי הוסיף וקבע כי אין בהפרה זו, כשלעצמה, כדי ללמד כי סלקום לא עמדה בתנאי החריג הקבוע כאמור בסעיף 13א(ד)(2)(ב) לחוק</w:t>
      </w:r>
      <w:r w:rsidR="00B16A82">
        <w:rPr>
          <w:rFonts w:hint="cs"/>
          <w:rtl/>
        </w:rPr>
        <w:t>, ה</w:t>
      </w:r>
      <w:r w:rsidR="00AA280A">
        <w:rPr>
          <w:rFonts w:hint="cs"/>
          <w:rtl/>
        </w:rPr>
        <w:t xml:space="preserve">מאפשר להאריך את ההתקשרות בין הצדדים. בהקשר זה קבע בית המשפט המחוזי כי לצורך התקיימות דרישות הסעיף האמור די בכך שסלקום עמדה באחד מאמצעי היידוע הנזכרים בסעיף 13א(ב) לחוק </w:t>
      </w:r>
      <w:r w:rsidR="00AA280A">
        <w:rPr>
          <w:rtl/>
        </w:rPr>
        <w:t>–</w:t>
      </w:r>
      <w:r w:rsidR="00AA280A">
        <w:rPr>
          <w:rFonts w:hint="cs"/>
          <w:rtl/>
        </w:rPr>
        <w:t xml:space="preserve"> בהודעה נפרדת, בחשבונית בהבלטה מיוחדת או במסרון </w:t>
      </w:r>
      <w:r w:rsidR="00AA280A">
        <w:rPr>
          <w:rtl/>
        </w:rPr>
        <w:t>–</w:t>
      </w:r>
      <w:r w:rsidR="00AA280A">
        <w:rPr>
          <w:rFonts w:hint="cs"/>
          <w:rtl/>
        </w:rPr>
        <w:t xml:space="preserve"> על מנת לתת תוקף</w:t>
      </w:r>
      <w:r w:rsidR="00AA280A" w:rsidRPr="005575A9">
        <w:rPr>
          <w:rFonts w:ascii="Century" w:hAnsi="Century" w:hint="cs"/>
          <w:rtl/>
        </w:rPr>
        <w:t xml:space="preserve"> </w:t>
      </w:r>
      <w:r w:rsidR="00AA280A">
        <w:rPr>
          <w:rFonts w:ascii="Century" w:hAnsi="Century" w:hint="cs"/>
          <w:rtl/>
        </w:rPr>
        <w:t>להמשך ההתקשרות, כך שלא תקום עילה להשבת הפערים בין המחירים.</w:t>
      </w:r>
      <w:r w:rsidR="00B16A82">
        <w:rPr>
          <w:rFonts w:hint="cs"/>
          <w:rtl/>
        </w:rPr>
        <w:t xml:space="preserve"> על </w:t>
      </w:r>
      <w:r w:rsidR="00AA280A">
        <w:rPr>
          <w:rFonts w:hint="cs"/>
          <w:rtl/>
        </w:rPr>
        <w:t xml:space="preserve">כן, בית המשפט המחוזי סבר כי אין מקום לפסוק את הסעד הנדרש, בהתחשב בכך שהמידע אכן נמסר ללקוחות סלקום, גם אם לא במתכונת של הודעה נפרדת. </w:t>
      </w:r>
    </w:p>
    <w:p w:rsidR="00AA280A" w:rsidRDefault="00AA280A" w:rsidP="00AA280A">
      <w:pPr>
        <w:pStyle w:val="Ruller41"/>
        <w:rPr>
          <w:rFonts w:ascii="Century" w:hAnsi="Century"/>
          <w:rtl/>
        </w:rPr>
      </w:pPr>
    </w:p>
    <w:p w:rsidR="00AA280A" w:rsidRDefault="00722B5A" w:rsidP="00AA280A">
      <w:pPr>
        <w:pStyle w:val="Ruller41"/>
        <w:rPr>
          <w:rFonts w:ascii="Century" w:hAnsi="Century"/>
          <w:rtl/>
        </w:rPr>
      </w:pPr>
      <w:r>
        <w:rPr>
          <w:rFonts w:ascii="Century" w:hAnsi="Century" w:hint="cs"/>
          <w:rtl/>
        </w:rPr>
        <w:t>18</w:t>
      </w:r>
      <w:r w:rsidR="00AA280A">
        <w:rPr>
          <w:rFonts w:ascii="Century" w:hAnsi="Century" w:hint="cs"/>
          <w:rtl/>
        </w:rPr>
        <w:t>.</w:t>
      </w:r>
      <w:r w:rsidR="00AA280A">
        <w:rPr>
          <w:rFonts w:ascii="Century" w:hAnsi="Century" w:hint="cs"/>
          <w:rtl/>
        </w:rPr>
        <w:tab/>
        <w:t xml:space="preserve">באופן קונקרטי נקבע כי סלקום הודיעה על סיומה של תקופת ההטבה בשלוש החשבוניות האחרונות שנשלחו למערערים עובר לעדכון המחיר. כך, בראש העמוד השני צוין באותיות בולטות ומודגשות בקו תחתון: "לקוח יקר, החל מתאריך... ובהתאם להסכם ההתקשרות, יעמוד מחיר שירות תשלום חודשי קבוע </w:t>
      </w:r>
      <w:proofErr w:type="spellStart"/>
      <w:r w:rsidR="00AA280A">
        <w:rPr>
          <w:rFonts w:ascii="Century" w:hAnsi="Century" w:hint="cs"/>
          <w:rtl/>
        </w:rPr>
        <w:t>טריפל</w:t>
      </w:r>
      <w:proofErr w:type="spellEnd"/>
      <w:r w:rsidR="00AA280A">
        <w:rPr>
          <w:rFonts w:ascii="Century" w:hAnsi="Century" w:hint="cs"/>
          <w:rtl/>
        </w:rPr>
        <w:t xml:space="preserve"> על 168.99 ש"ח </w:t>
      </w:r>
      <w:r w:rsidR="00AA280A">
        <w:rPr>
          <w:rFonts w:ascii="Century" w:hAnsi="Century" w:hint="cs"/>
          <w:rtl/>
        </w:rPr>
        <w:lastRenderedPageBreak/>
        <w:t>לחודש". שתיים מההודעות הללו, כך נקבע, אשר ניתנו בתוך תקופת ההודעה, מילאו אחרי התנאים הקבועים בסעיף 13א(ד)(2) לחוק. זאת, בנוסף לפירוט עיקרי התנאים של התכנית שצוינו בנפרד בכל חשבונית שנשלחה למערערים גם לפני כן. עוד נקבע כי המערערים לא שללו את האפשרות שההודעה תינתן במסגרת החשבונית או במצורף לה, אלא טענו כי סלקום לא שלחה להם הודעה כלל. כן צוין כי המערערים לא טענו כי הם לא קיבלו את החשבוניות, לא עיינו בהן או לא הבחינו בהודעות על העלאת המחיר הצפויה, וכי יש להסיק מכך שהם אכן קיבלו את ההודעה וידעו בפועל על העלאת מחירה של החבילה. אשר על כן, נדחתה הבקשה לאישור תובענה ייצוגית בכל הקשור לחבילת שירותי התקשורת.</w:t>
      </w:r>
    </w:p>
    <w:p w:rsidR="00AA280A" w:rsidRDefault="00AA280A" w:rsidP="00AA280A">
      <w:pPr>
        <w:pStyle w:val="Ruller41"/>
        <w:rPr>
          <w:rFonts w:ascii="Century" w:hAnsi="Century"/>
          <w:rtl/>
        </w:rPr>
      </w:pPr>
    </w:p>
    <w:p w:rsidR="00AA280A" w:rsidRDefault="00722B5A" w:rsidP="00AA280A">
      <w:pPr>
        <w:pStyle w:val="Ruller41"/>
        <w:rPr>
          <w:rFonts w:ascii="Century" w:hAnsi="Century"/>
          <w:rtl/>
        </w:rPr>
      </w:pPr>
      <w:r>
        <w:rPr>
          <w:rFonts w:ascii="Century" w:hAnsi="Century" w:hint="cs"/>
          <w:rtl/>
        </w:rPr>
        <w:t>19</w:t>
      </w:r>
      <w:r w:rsidR="00AA280A">
        <w:rPr>
          <w:rFonts w:ascii="Century" w:hAnsi="Century" w:hint="cs"/>
          <w:rtl/>
        </w:rPr>
        <w:t>.</w:t>
      </w:r>
      <w:r w:rsidR="00AA280A">
        <w:rPr>
          <w:rFonts w:ascii="Century" w:hAnsi="Century"/>
          <w:rtl/>
        </w:rPr>
        <w:tab/>
      </w:r>
      <w:r w:rsidR="00AA280A">
        <w:rPr>
          <w:rFonts w:ascii="Century" w:hAnsi="Century" w:hint="cs"/>
          <w:rtl/>
        </w:rPr>
        <w:t xml:space="preserve">כאמור, בית המשפט המחוזי הגיע למסקנה שונה באשר לעילה השנייה שנסבה על גביית התשלום בגין הממירים הנוספים. בהקשר זה צוין כי אין חולק על כך שהלכה למעשה, סלקום לא שלחה כל הודעה שעניינה סיום ההטבה בגינם ותחילת התשלום על השכרתם. טענתה של סלקום ביחס לכך, לפיה סעיף 13א לחוק כלל אינו חל על ההטבה שניתנה עבור הממירים הנוספים </w:t>
      </w:r>
      <w:r w:rsidR="00AA280A">
        <w:rPr>
          <w:rFonts w:ascii="Century" w:hAnsi="Century"/>
          <w:rtl/>
        </w:rPr>
        <w:t>–</w:t>
      </w:r>
      <w:r w:rsidR="00AA280A">
        <w:rPr>
          <w:rFonts w:ascii="Century" w:hAnsi="Century" w:hint="cs"/>
          <w:rtl/>
        </w:rPr>
        <w:t xml:space="preserve"> נדחתה. בית המשפט המחוזי קבע כי מדובר בהטבה שניתנה למערערים בעת הצטרפותם לתכנית </w:t>
      </w:r>
      <w:proofErr w:type="spellStart"/>
      <w:r w:rsidR="00AA280A">
        <w:rPr>
          <w:rFonts w:ascii="Century" w:hAnsi="Century" w:hint="cs"/>
          <w:rtl/>
        </w:rPr>
        <w:t>ה"טריפל</w:t>
      </w:r>
      <w:proofErr w:type="spellEnd"/>
      <w:r w:rsidR="00AA280A">
        <w:rPr>
          <w:rFonts w:ascii="Century" w:hAnsi="Century" w:hint="cs"/>
          <w:rtl/>
        </w:rPr>
        <w:t xml:space="preserve">", המהווה חלק מתנאי העסקה שנכרתה בין הצדדים. </w:t>
      </w:r>
      <w:proofErr w:type="spellStart"/>
      <w:r w:rsidR="00AA280A">
        <w:rPr>
          <w:rFonts w:ascii="Century" w:hAnsi="Century" w:hint="cs"/>
          <w:rtl/>
        </w:rPr>
        <w:t>ככזו</w:t>
      </w:r>
      <w:proofErr w:type="spellEnd"/>
      <w:r w:rsidR="00AA280A">
        <w:rPr>
          <w:rFonts w:ascii="Century" w:hAnsi="Century" w:hint="cs"/>
          <w:rtl/>
        </w:rPr>
        <w:t>, ובשים לב להגדרה של "עסקה לתקופה קצובה", היא מחייבת מתן הודעה על סיום תקופת ההטבה. עוד נקבע כי ההודעות שעליהן הצביעה סלקום בהקשר זה, ובכלל זה ציון בחשבוניות החודשיות תחת פירוט ההטבות "הנחה על חיוב בגין השכרת ממיר... מתוך 12" (בהתייחס למספר החודשים שנותרו עד תום ההטבה), וכן מסרון שבו נכתב בכלליות כי "ביום... יחולו עדכונים בתוכנית או בהטבות בהתאם לתנאי ההתקשרות" – אינן</w:t>
      </w:r>
      <w:r w:rsidR="00B16A82">
        <w:rPr>
          <w:rFonts w:ascii="Century" w:hAnsi="Century" w:hint="cs"/>
          <w:rtl/>
        </w:rPr>
        <w:t xml:space="preserve"> עומדות בתנאים הקבועים בחוק. על </w:t>
      </w:r>
      <w:r w:rsidR="00AA280A">
        <w:rPr>
          <w:rFonts w:ascii="Century" w:hAnsi="Century" w:hint="cs"/>
          <w:rtl/>
        </w:rPr>
        <w:t>כן, בכל הנוגע לחיובי התשלום עבור הממירים הנוספים, נקבע כי קמה למערערים עילת תביעה נגד סלקום המבוססת על הפרת הוראותיו של סעיף 13א לחוק הגנת הצרכן בשל אי-שליחת הודעה על מועד סיומה של תקופת ההטבה.</w:t>
      </w:r>
    </w:p>
    <w:p w:rsidR="00AA280A" w:rsidRDefault="00AA280A" w:rsidP="00AA280A">
      <w:pPr>
        <w:pStyle w:val="Ruller41"/>
        <w:rPr>
          <w:rFonts w:ascii="Century" w:hAnsi="Century"/>
          <w:rtl/>
        </w:rPr>
      </w:pPr>
    </w:p>
    <w:p w:rsidR="00AA280A" w:rsidRDefault="00722B5A" w:rsidP="00B16A82">
      <w:pPr>
        <w:pStyle w:val="Ruller41"/>
        <w:rPr>
          <w:rFonts w:ascii="Century" w:hAnsi="Century"/>
          <w:rtl/>
        </w:rPr>
      </w:pPr>
      <w:r>
        <w:rPr>
          <w:rFonts w:ascii="Century" w:hAnsi="Century" w:hint="cs"/>
          <w:rtl/>
        </w:rPr>
        <w:t>20</w:t>
      </w:r>
      <w:r w:rsidR="00AA280A">
        <w:rPr>
          <w:rFonts w:ascii="Century" w:hAnsi="Century" w:hint="cs"/>
          <w:rtl/>
        </w:rPr>
        <w:t>.</w:t>
      </w:r>
      <w:r w:rsidR="00AA280A">
        <w:rPr>
          <w:rFonts w:ascii="Century" w:hAnsi="Century" w:hint="cs"/>
          <w:rtl/>
        </w:rPr>
        <w:tab/>
        <w:t xml:space="preserve">בית המשפט המחוזי המשיך ונדרש לשאלה בדבר תוצאותיה של ההפרה האמורה. ביחס לכך נקבע כי סעיף 13א(ג) לחוק מעניק לצרכן סעד חוזי המבטל את תוקפה של ההתקשרות במחיר המעודכן, אלא אם הצרכן והעוסק הסכימו אחרת (בתקופת ההודעה או לאחריה, אך לא לפני כן). עוד צוין כי הסעד האמור ניתן לצרכן מבלי שזה נדרש להוכיח קשר סיבתי, דהיינו מבלי שהוא נדרש להראות שהיה פועל להיטיב את תנאי העסקה או לסיים את ההתקשרות. לצד זאת, צוין כי אין בסעד החוזי כדי להביא בהכרח להחזר מלא של הסכומים ששולמו בגין הממירים הנוספים, בשים לב לאפשרות שהצדדים הסכימו, על דרך התנהגות, להמשיך את ההתקשרות בתנאי עסקה שונים. בית </w:t>
      </w:r>
      <w:r w:rsidR="00AA280A">
        <w:rPr>
          <w:rFonts w:ascii="Century" w:hAnsi="Century" w:hint="cs"/>
          <w:rtl/>
        </w:rPr>
        <w:lastRenderedPageBreak/>
        <w:t xml:space="preserve">המשפט המחוזי הוסיף והבהיר כי חובת ההוכחה בהקשר זה מוטלת על העוסק, בענייננו סלקום, וכי מכל מקום לא נשמעו בפניו טענות בעניין זה. על כן, ההכרעה בכך הושארה לשלב הדיון בתובענה לגופה. כמו כן, נקבע כי בעת הזאת ניתן להותיר להמשך ההתדיינות גם את טענת סלקום לפיה הסעד שניתן לצרכן בסעיף 13א(ג) לחוק הוא למעשה פיצוי לדוגמה או פיצוי ללא הוכחת נזק, כך שהוא אינו בר תביעה </w:t>
      </w:r>
      <w:r w:rsidR="00AA280A">
        <w:rPr>
          <w:rFonts w:hint="cs"/>
          <w:rtl/>
        </w:rPr>
        <w:t>במסגרת תביעה ייצוגי</w:t>
      </w:r>
      <w:r w:rsidR="00AA280A">
        <w:rPr>
          <w:rFonts w:hint="eastAsia"/>
          <w:rtl/>
        </w:rPr>
        <w:t>ת</w:t>
      </w:r>
      <w:r w:rsidR="00AA280A">
        <w:rPr>
          <w:rFonts w:hint="cs"/>
          <w:rtl/>
        </w:rPr>
        <w:t xml:space="preserve">  (נוכח ההסדר הקבוע בסעיף 20(ה) לחוק תובענות ייצוגיות, התשס"ו-2006</w:t>
      </w:r>
      <w:r w:rsidR="00AA280A">
        <w:rPr>
          <w:rFonts w:ascii="Century" w:hAnsi="Century" w:hint="cs"/>
          <w:rtl/>
        </w:rPr>
        <w:t xml:space="preserve"> (להלן: </w:t>
      </w:r>
      <w:r w:rsidR="00AA280A" w:rsidRPr="00C858F1">
        <w:rPr>
          <w:rFonts w:ascii="Century" w:hAnsi="Century" w:cs="Miriam" w:hint="cs"/>
          <w:b/>
          <w:spacing w:val="0"/>
          <w:szCs w:val="24"/>
          <w:rtl/>
        </w:rPr>
        <w:t>חוק תובענות ייצוגיות</w:t>
      </w:r>
      <w:r w:rsidR="00AA280A">
        <w:rPr>
          <w:rFonts w:ascii="FrankRuehl" w:hAnsi="FrankRuehl" w:hint="cs"/>
          <w:color w:val="000000"/>
          <w:sz w:val="28"/>
          <w:rtl/>
        </w:rPr>
        <w:t>))</w:t>
      </w:r>
      <w:r w:rsidR="00AA280A">
        <w:rPr>
          <w:rFonts w:ascii="Century" w:hAnsi="Century" w:hint="cs"/>
          <w:rtl/>
        </w:rPr>
        <w:t>. לבסוף, בית המשפט המחוזי ציין כי בנסיבות העניין קמה לכאורה למערערים אף עילה נזיקית מכוח העוולה הקבועה בסעיף 31 לחוק הגנת הצרכן, אלא שלצורך כך נדרשת הוכחה של קשר סיבתי בין אי</w:t>
      </w:r>
      <w:r w:rsidR="00B16A82">
        <w:rPr>
          <w:rFonts w:ascii="Century" w:hAnsi="Century" w:hint="cs"/>
          <w:rtl/>
        </w:rPr>
        <w:t>-</w:t>
      </w:r>
      <w:r w:rsidR="00AA280A">
        <w:rPr>
          <w:rFonts w:ascii="Century" w:hAnsi="Century" w:hint="cs"/>
          <w:rtl/>
        </w:rPr>
        <w:t>מתן ההודעה ובין הנזק הנטען. עוד נקבע כי העלאת המחיר</w:t>
      </w:r>
      <w:r w:rsidR="00AA280A" w:rsidRPr="008125C7">
        <w:rPr>
          <w:rFonts w:ascii="Calibri" w:hAnsi="Calibri"/>
          <w:sz w:val="28"/>
          <w:rtl/>
        </w:rPr>
        <w:t xml:space="preserve"> </w:t>
      </w:r>
      <w:r w:rsidR="00AA280A" w:rsidRPr="008125C7">
        <w:rPr>
          <w:rFonts w:ascii="Calibri" w:hAnsi="Calibri" w:hint="eastAsia"/>
          <w:sz w:val="28"/>
          <w:rtl/>
        </w:rPr>
        <w:t>בניגוד</w:t>
      </w:r>
      <w:r w:rsidR="00AA280A" w:rsidRPr="008125C7">
        <w:rPr>
          <w:rFonts w:ascii="Calibri" w:hAnsi="Calibri"/>
          <w:sz w:val="28"/>
          <w:rtl/>
        </w:rPr>
        <w:t xml:space="preserve"> </w:t>
      </w:r>
      <w:r w:rsidR="00AA280A" w:rsidRPr="008125C7">
        <w:rPr>
          <w:rFonts w:ascii="Calibri" w:hAnsi="Calibri" w:hint="eastAsia"/>
          <w:sz w:val="28"/>
          <w:rtl/>
        </w:rPr>
        <w:t>להוראות</w:t>
      </w:r>
      <w:r w:rsidR="00AA280A" w:rsidRPr="008125C7">
        <w:rPr>
          <w:rFonts w:ascii="Calibri" w:hAnsi="Calibri"/>
          <w:sz w:val="28"/>
          <w:rtl/>
        </w:rPr>
        <w:t xml:space="preserve"> </w:t>
      </w:r>
      <w:r w:rsidR="00AA280A" w:rsidRPr="008125C7">
        <w:rPr>
          <w:rFonts w:ascii="Calibri" w:hAnsi="Calibri" w:hint="eastAsia"/>
          <w:sz w:val="28"/>
          <w:rtl/>
        </w:rPr>
        <w:t>הדין</w:t>
      </w:r>
      <w:r w:rsidR="00AA280A" w:rsidRPr="008125C7">
        <w:rPr>
          <w:rFonts w:ascii="Calibri" w:hAnsi="Calibri"/>
          <w:sz w:val="28"/>
          <w:rtl/>
        </w:rPr>
        <w:t xml:space="preserve"> </w:t>
      </w:r>
      <w:r w:rsidR="00AA280A" w:rsidRPr="008125C7">
        <w:rPr>
          <w:rFonts w:ascii="Calibri" w:hAnsi="Calibri" w:hint="eastAsia"/>
          <w:sz w:val="28"/>
          <w:rtl/>
        </w:rPr>
        <w:t>עשויה</w:t>
      </w:r>
      <w:r w:rsidR="00AA280A" w:rsidRPr="008125C7">
        <w:rPr>
          <w:rFonts w:ascii="Calibri" w:hAnsi="Calibri"/>
          <w:sz w:val="28"/>
          <w:rtl/>
        </w:rPr>
        <w:t xml:space="preserve"> </w:t>
      </w:r>
      <w:r w:rsidR="00AA280A" w:rsidRPr="008125C7">
        <w:rPr>
          <w:rFonts w:ascii="Calibri" w:hAnsi="Calibri" w:hint="eastAsia"/>
          <w:sz w:val="28"/>
          <w:rtl/>
        </w:rPr>
        <w:t>להקים</w:t>
      </w:r>
      <w:r w:rsidR="00AA280A" w:rsidRPr="008125C7">
        <w:rPr>
          <w:rFonts w:ascii="Calibri" w:hAnsi="Calibri"/>
          <w:sz w:val="28"/>
          <w:rtl/>
        </w:rPr>
        <w:t xml:space="preserve"> </w:t>
      </w:r>
      <w:r w:rsidR="00AA280A" w:rsidRPr="008125C7">
        <w:rPr>
          <w:rFonts w:ascii="Calibri" w:hAnsi="Calibri" w:hint="eastAsia"/>
          <w:sz w:val="28"/>
          <w:rtl/>
        </w:rPr>
        <w:t>גם</w:t>
      </w:r>
      <w:r w:rsidR="00AA280A" w:rsidRPr="008125C7">
        <w:rPr>
          <w:rFonts w:ascii="Calibri" w:hAnsi="Calibri"/>
          <w:sz w:val="28"/>
          <w:rtl/>
        </w:rPr>
        <w:t xml:space="preserve"> </w:t>
      </w:r>
      <w:r w:rsidR="00AA280A" w:rsidRPr="008125C7">
        <w:rPr>
          <w:rFonts w:ascii="Calibri" w:hAnsi="Calibri" w:hint="eastAsia"/>
          <w:sz w:val="28"/>
          <w:rtl/>
        </w:rPr>
        <w:t>עילה</w:t>
      </w:r>
      <w:r w:rsidR="00AA280A" w:rsidRPr="008125C7">
        <w:rPr>
          <w:rFonts w:ascii="Calibri" w:hAnsi="Calibri"/>
          <w:sz w:val="28"/>
          <w:rtl/>
        </w:rPr>
        <w:t xml:space="preserve"> </w:t>
      </w:r>
      <w:r w:rsidR="00AA280A" w:rsidRPr="008125C7">
        <w:rPr>
          <w:rFonts w:ascii="Calibri" w:hAnsi="Calibri" w:hint="eastAsia"/>
          <w:sz w:val="28"/>
          <w:rtl/>
        </w:rPr>
        <w:t>מכוח</w:t>
      </w:r>
      <w:r w:rsidR="00AA280A" w:rsidRPr="008125C7">
        <w:rPr>
          <w:rFonts w:ascii="Calibri" w:hAnsi="Calibri"/>
          <w:sz w:val="28"/>
          <w:rtl/>
        </w:rPr>
        <w:t xml:space="preserve"> </w:t>
      </w:r>
      <w:r w:rsidR="00AA280A" w:rsidRPr="008125C7">
        <w:rPr>
          <w:rFonts w:ascii="Calibri" w:hAnsi="Calibri" w:hint="eastAsia"/>
          <w:sz w:val="28"/>
          <w:rtl/>
        </w:rPr>
        <w:t>דיני</w:t>
      </w:r>
      <w:r w:rsidR="00AA280A" w:rsidRPr="008125C7">
        <w:rPr>
          <w:rFonts w:ascii="Calibri" w:hAnsi="Calibri"/>
          <w:sz w:val="28"/>
          <w:rtl/>
        </w:rPr>
        <w:t xml:space="preserve"> </w:t>
      </w:r>
      <w:r w:rsidR="00AA280A" w:rsidRPr="008125C7">
        <w:rPr>
          <w:rFonts w:ascii="Calibri" w:hAnsi="Calibri" w:hint="eastAsia"/>
          <w:sz w:val="28"/>
          <w:rtl/>
        </w:rPr>
        <w:t>עשיית</w:t>
      </w:r>
      <w:r w:rsidR="00AA280A" w:rsidRPr="008125C7">
        <w:rPr>
          <w:rFonts w:ascii="Calibri" w:hAnsi="Calibri"/>
          <w:sz w:val="28"/>
          <w:rtl/>
        </w:rPr>
        <w:t xml:space="preserve"> </w:t>
      </w:r>
      <w:r w:rsidR="00AA280A" w:rsidRPr="008125C7">
        <w:rPr>
          <w:rFonts w:ascii="Calibri" w:hAnsi="Calibri" w:hint="eastAsia"/>
          <w:sz w:val="28"/>
          <w:rtl/>
        </w:rPr>
        <w:t>עושר</w:t>
      </w:r>
      <w:r w:rsidR="00AA280A" w:rsidRPr="008125C7">
        <w:rPr>
          <w:rFonts w:ascii="Calibri" w:hAnsi="Calibri"/>
          <w:sz w:val="28"/>
          <w:rtl/>
        </w:rPr>
        <w:t xml:space="preserve"> </w:t>
      </w:r>
      <w:r w:rsidR="00AA280A" w:rsidRPr="008125C7">
        <w:rPr>
          <w:rFonts w:ascii="Calibri" w:hAnsi="Calibri" w:hint="eastAsia"/>
          <w:sz w:val="28"/>
          <w:rtl/>
        </w:rPr>
        <w:t>ולא</w:t>
      </w:r>
      <w:r w:rsidR="00AA280A" w:rsidRPr="008125C7">
        <w:rPr>
          <w:rFonts w:ascii="Calibri" w:hAnsi="Calibri"/>
          <w:sz w:val="28"/>
          <w:rtl/>
        </w:rPr>
        <w:t xml:space="preserve"> </w:t>
      </w:r>
      <w:r w:rsidR="00AA280A" w:rsidRPr="008125C7">
        <w:rPr>
          <w:rFonts w:ascii="Calibri" w:hAnsi="Calibri" w:hint="eastAsia"/>
          <w:sz w:val="28"/>
          <w:rtl/>
        </w:rPr>
        <w:t>במשפט</w:t>
      </w:r>
      <w:r w:rsidR="00AA280A" w:rsidRPr="008125C7">
        <w:rPr>
          <w:rFonts w:ascii="Calibri" w:hAnsi="Calibri"/>
          <w:sz w:val="28"/>
          <w:rtl/>
        </w:rPr>
        <w:t>.</w:t>
      </w:r>
    </w:p>
    <w:p w:rsidR="00AA280A" w:rsidRDefault="00AA280A" w:rsidP="00AA280A">
      <w:pPr>
        <w:pStyle w:val="Ruller41"/>
        <w:rPr>
          <w:rFonts w:ascii="Century" w:hAnsi="Century"/>
          <w:rtl/>
        </w:rPr>
      </w:pPr>
    </w:p>
    <w:p w:rsidR="00AA280A" w:rsidRPr="00785C82" w:rsidRDefault="00722B5A" w:rsidP="00AA280A">
      <w:pPr>
        <w:pStyle w:val="Ruller41"/>
        <w:rPr>
          <w:rFonts w:ascii="Century" w:hAnsi="Century"/>
          <w:rtl/>
        </w:rPr>
      </w:pPr>
      <w:r>
        <w:rPr>
          <w:rFonts w:ascii="Century" w:hAnsi="Century" w:hint="cs"/>
          <w:rtl/>
        </w:rPr>
        <w:t>21</w:t>
      </w:r>
      <w:r w:rsidR="00AA280A">
        <w:rPr>
          <w:rFonts w:ascii="Century" w:hAnsi="Century" w:hint="cs"/>
          <w:rtl/>
        </w:rPr>
        <w:t>.</w:t>
      </w:r>
      <w:r w:rsidR="00AA280A">
        <w:rPr>
          <w:rFonts w:ascii="Century" w:hAnsi="Century" w:hint="cs"/>
          <w:rtl/>
        </w:rPr>
        <w:tab/>
        <w:t>אשר על כן, נקבע כי התובענה מעוררת שאלות מהותיות של עובדה או משפט המשותפות לכלל חברי הקבוצה, שהעיקריות שבהן הן: האם סלקום הפרה את הוראות סעיף 13א לחוק בכל הנוגע לגביית התשלום בגין הממירים הנוספים ומהו הסעד שחברי הקבוצה זכאים לו בעקבות זאת. כן נקבע כי קיימת אפשרות סבירה שהשאלות הנדונות יוכרעו לטובת הקבוצה, כי המערערים הוכיחו שבידם עילת תביעה אישית, כי תובענה ייצוגית היא הדרך היעילה וההוגנת להכרעה במחלוקת, וכי יש יסוד סביר להניח שעניינם של כלל חברי הקבוצה ייוצג וינוהל בדרך הולמת ובתום לב. לפיכך, הבקשה לאישור התובענה הייצוגית התקבלה בעילה של הממירים הנוספים וניתנו הוראות להמשך הטיפול בתיק.</w:t>
      </w:r>
    </w:p>
    <w:p w:rsidR="00AA280A" w:rsidRDefault="00AA280A" w:rsidP="00AA280A">
      <w:pPr>
        <w:pStyle w:val="Ruller41"/>
        <w:rPr>
          <w:rtl/>
        </w:rPr>
      </w:pPr>
    </w:p>
    <w:p w:rsidR="00AA280A" w:rsidRPr="00044568" w:rsidRDefault="00AA280A" w:rsidP="00AA280A">
      <w:pPr>
        <w:pStyle w:val="Ruller41"/>
        <w:rPr>
          <w:rFonts w:ascii="Century" w:hAnsi="Century" w:cs="Miriam"/>
          <w:b/>
          <w:spacing w:val="0"/>
          <w:szCs w:val="24"/>
          <w:rtl/>
        </w:rPr>
      </w:pPr>
      <w:r w:rsidRPr="00044568">
        <w:rPr>
          <w:rFonts w:ascii="Century" w:hAnsi="Century" w:cs="Miriam" w:hint="cs"/>
          <w:b/>
          <w:spacing w:val="0"/>
          <w:szCs w:val="24"/>
          <w:rtl/>
        </w:rPr>
        <w:t>הערעור שבפנינו</w:t>
      </w:r>
    </w:p>
    <w:p w:rsidR="00AA280A" w:rsidRDefault="00AA280A" w:rsidP="00AA280A">
      <w:pPr>
        <w:pStyle w:val="Ruller41"/>
        <w:rPr>
          <w:rtl/>
        </w:rPr>
      </w:pPr>
    </w:p>
    <w:p w:rsidR="00AA280A" w:rsidRDefault="00722B5A" w:rsidP="00AA280A">
      <w:pPr>
        <w:pStyle w:val="Ruller41"/>
        <w:rPr>
          <w:rtl/>
        </w:rPr>
      </w:pPr>
      <w:r>
        <w:rPr>
          <w:rFonts w:hint="cs"/>
          <w:rtl/>
        </w:rPr>
        <w:t>22</w:t>
      </w:r>
      <w:r w:rsidR="00AA280A">
        <w:rPr>
          <w:rFonts w:hint="cs"/>
          <w:rtl/>
        </w:rPr>
        <w:t xml:space="preserve">. </w:t>
      </w:r>
      <w:r w:rsidR="00AA280A">
        <w:rPr>
          <w:rFonts w:hint="cs"/>
          <w:rtl/>
        </w:rPr>
        <w:tab/>
        <w:t xml:space="preserve">הערעור הנוכחי מכוון כלפי דחייתה של העילה הראשונה (שעניינה כאמור בהעלאת מחירה של חבילת שירותי התקשורת). לשיטת המערערים, היה מקום לקבל גם עילה זו במסגרת אישור התובענה הייצוגית. בתמצית, המערערים סומכים את ידיהם על קביעתו של בית המשפט המחוזי כי סלקום אכן נדרשה למסור הודעה נפרדת ועצמאית ביחס לסיומה של תקופת ההטבה, אך סבורים כי היה מקום לתת לקביעה זו נפקות גם במישור הסעד. בהקשר זה נטען כי בית המשפט המחוזי שגה בקבעו שהזכות לסעד מכוח חוק הגנת הצרכן נשללת במקרים שבהם נמסרה הודעה באחד מבין אמצעי היידוע המשניים הקבועים בסעיף 13א(ב) לחוק, הגם שלא נשלחה כנדרש ההודעה הסטטוטורית הנפרדת. המערערים מוסיפים וטוענים כי פרשנות זו שוללת מהצרכנים את התרופה </w:t>
      </w:r>
      <w:r w:rsidR="00AA280A">
        <w:rPr>
          <w:rFonts w:hint="cs"/>
          <w:rtl/>
        </w:rPr>
        <w:lastRenderedPageBreak/>
        <w:t>העיקרית שהעניק להם המחוקק (שלילת תוקפה של העסקה במחיר הגבוה) במצבים שבהם הופרה בפועל החובה לשלוח הודעה כאמור.</w:t>
      </w:r>
    </w:p>
    <w:p w:rsidR="00AA280A" w:rsidRDefault="00AA280A" w:rsidP="00AA280A">
      <w:pPr>
        <w:pStyle w:val="Ruller41"/>
        <w:rPr>
          <w:rtl/>
        </w:rPr>
      </w:pPr>
    </w:p>
    <w:p w:rsidR="00AA280A" w:rsidRDefault="00722B5A" w:rsidP="00AA280A">
      <w:pPr>
        <w:pStyle w:val="Ruller41"/>
        <w:rPr>
          <w:rtl/>
        </w:rPr>
      </w:pPr>
      <w:r>
        <w:rPr>
          <w:rFonts w:hint="cs"/>
          <w:rtl/>
        </w:rPr>
        <w:t>23</w:t>
      </w:r>
      <w:r w:rsidR="00AA280A">
        <w:rPr>
          <w:rFonts w:hint="cs"/>
          <w:rtl/>
        </w:rPr>
        <w:t>.</w:t>
      </w:r>
      <w:r w:rsidR="00AA280A">
        <w:rPr>
          <w:rFonts w:hint="cs"/>
          <w:rtl/>
        </w:rPr>
        <w:tab/>
        <w:t>לטענת המערערים, סעיף 13א לחוק קובע חובות יידוע מוגדרות, בדרכים ובמועדים שונים הנזכרים בסעיף-קטן (ב), ואלה מהוות תנאי להמשך ההתקשרות ולחיוב בתשלום גבוה יותר לאחר סיומה של תקופת ההטבה. עוד נטען כי יש להבין את התיבה "הו</w:t>
      </w:r>
      <w:r w:rsidR="00DB4824">
        <w:rPr>
          <w:rFonts w:hint="cs"/>
          <w:rtl/>
        </w:rPr>
        <w:t xml:space="preserve">דעה בהתאם להוראות סעיף קטן (ב)", </w:t>
      </w:r>
      <w:r w:rsidR="00AA280A">
        <w:rPr>
          <w:rFonts w:hint="cs"/>
          <w:rtl/>
        </w:rPr>
        <w:t xml:space="preserve">המופיעה בסעיף 13א(ד)(2)(ב) לחוק, כמתייחסת באופן בלעדי לדרישה להודעה הסטטוטורית הנפרדת. כפועל יוצא מכך, לשיטתם של המערערים, אם העוסק לא שלח את ההודעה הסטטוטורית הנפרדת </w:t>
      </w:r>
      <w:r w:rsidR="00AA280A">
        <w:rPr>
          <w:rtl/>
        </w:rPr>
        <w:t>–</w:t>
      </w:r>
      <w:r w:rsidR="00AA280A">
        <w:rPr>
          <w:rFonts w:hint="cs"/>
          <w:rtl/>
        </w:rPr>
        <w:t xml:space="preserve"> גם אם שלח הודעות אחרות בחשבונית או במסרון – לעליית המחיר לא </w:t>
      </w:r>
      <w:r w:rsidR="00AA280A" w:rsidRPr="001F2581">
        <w:rPr>
          <w:rFonts w:hint="cs"/>
          <w:rtl/>
        </w:rPr>
        <w:t xml:space="preserve">יהיה תוקף. להשלמת </w:t>
      </w:r>
      <w:r w:rsidR="00AA280A" w:rsidRPr="0021520B">
        <w:rPr>
          <w:rFonts w:hint="cs"/>
          <w:rtl/>
        </w:rPr>
        <w:t>התמונה יצוין שהמערערים טענו בנוסף כי גם אם סעד הבטלות</w:t>
      </w:r>
      <w:r w:rsidR="00AA280A" w:rsidRPr="007B719B">
        <w:rPr>
          <w:rFonts w:hint="cs"/>
          <w:rtl/>
        </w:rPr>
        <w:t xml:space="preserve"> הסטטוטור</w:t>
      </w:r>
      <w:r w:rsidR="00AA280A" w:rsidRPr="007B719B">
        <w:rPr>
          <w:rFonts w:hint="eastAsia"/>
          <w:rtl/>
        </w:rPr>
        <w:t>י</w:t>
      </w:r>
      <w:r w:rsidR="00AA280A" w:rsidRPr="007B719B">
        <w:rPr>
          <w:rFonts w:hint="cs"/>
          <w:rtl/>
        </w:rPr>
        <w:t xml:space="preserve"> אינו חל בנסיבות העניין, היה מקום להתיר את ניהול התובענה הייצוגית מ</w:t>
      </w:r>
      <w:r w:rsidR="00AA280A" w:rsidRPr="00EC5BF8">
        <w:rPr>
          <w:rFonts w:hint="cs"/>
          <w:rtl/>
        </w:rPr>
        <w:t>כוח העילה הנזיקית והעילה של עשיית עושר ולא במשפט.</w:t>
      </w:r>
    </w:p>
    <w:p w:rsidR="00AA280A" w:rsidRDefault="00AA280A" w:rsidP="00AA280A">
      <w:pPr>
        <w:pStyle w:val="Ruller41"/>
        <w:rPr>
          <w:rtl/>
        </w:rPr>
      </w:pPr>
    </w:p>
    <w:p w:rsidR="00AA280A" w:rsidRDefault="00722B5A" w:rsidP="00DB4824">
      <w:pPr>
        <w:pStyle w:val="Ruller41"/>
        <w:rPr>
          <w:rtl/>
        </w:rPr>
      </w:pPr>
      <w:r>
        <w:rPr>
          <w:rFonts w:hint="cs"/>
          <w:rtl/>
        </w:rPr>
        <w:t>24</w:t>
      </w:r>
      <w:r w:rsidR="00AA280A">
        <w:rPr>
          <w:rFonts w:hint="cs"/>
          <w:rtl/>
        </w:rPr>
        <w:t xml:space="preserve">. </w:t>
      </w:r>
      <w:r w:rsidR="00AA280A">
        <w:rPr>
          <w:rFonts w:hint="cs"/>
          <w:rtl/>
        </w:rPr>
        <w:tab/>
        <w:t>מנגד, עמדתה של סלקום היא שאין מקום לפרש את סעיף 13א(ב) לחוק כקובע חובה למסור הודעה נפרדת, ולפיכך לא נפל כל פגם באופן מתן ההודעה. לחלופין נטען כי אף אם נפל פגם כלשהו בהתנהלותה של סלקום, העמידה על פסיקתו של סעד כספי "אינה הגונה ואף חסרת תום לב" בהתחשב בשירות שסופק ובכך שנמסרו הודעות לצרכנים, וכי סעד זה צריך להישמר למקרים חריגים בהם נפל פגם חמור כגון אי-משלוח הודעה כלל. בהקשר זה סלקום שבה וטענה כי אי</w:t>
      </w:r>
      <w:r w:rsidR="00DB4824">
        <w:rPr>
          <w:rFonts w:hint="cs"/>
          <w:rtl/>
        </w:rPr>
        <w:t>-</w:t>
      </w:r>
      <w:r w:rsidR="00AA280A">
        <w:rPr>
          <w:rFonts w:hint="cs"/>
          <w:rtl/>
        </w:rPr>
        <w:t xml:space="preserve">מתן תוקף להעלאת המחיר והשבת ההפרש לצרכן היא למעשה "בגדר פיצוי עונשי ולדוגמה, ללא הוכחת נזק". עוד נטען כי לכל היותר במקרים מסוג זה ניתן לתבוע </w:t>
      </w:r>
      <w:proofErr w:type="spellStart"/>
      <w:r w:rsidR="00AA280A">
        <w:rPr>
          <w:rFonts w:hint="cs"/>
          <w:rtl/>
        </w:rPr>
        <w:t>בנזיקין</w:t>
      </w:r>
      <w:proofErr w:type="spellEnd"/>
      <w:r w:rsidR="00AA280A">
        <w:rPr>
          <w:rFonts w:hint="cs"/>
          <w:rtl/>
        </w:rPr>
        <w:t xml:space="preserve"> בגין נזק שהוכח בשל הפרת החובה למסור הודעה כדין.</w:t>
      </w:r>
    </w:p>
    <w:p w:rsidR="00AA280A" w:rsidRDefault="00AA280A" w:rsidP="00AA280A">
      <w:pPr>
        <w:pStyle w:val="Ruller41"/>
        <w:rPr>
          <w:rtl/>
        </w:rPr>
      </w:pPr>
    </w:p>
    <w:p w:rsidR="00AA280A" w:rsidRDefault="00722B5A" w:rsidP="00AA280A">
      <w:pPr>
        <w:pStyle w:val="Ruller41"/>
        <w:rPr>
          <w:rtl/>
        </w:rPr>
      </w:pPr>
      <w:r>
        <w:rPr>
          <w:rFonts w:hint="cs"/>
          <w:rtl/>
        </w:rPr>
        <w:t>25</w:t>
      </w:r>
      <w:r w:rsidR="00AA280A">
        <w:rPr>
          <w:rFonts w:hint="cs"/>
          <w:rtl/>
        </w:rPr>
        <w:t xml:space="preserve">. </w:t>
      </w:r>
      <w:r w:rsidR="00AA280A">
        <w:rPr>
          <w:rFonts w:hint="cs"/>
          <w:rtl/>
        </w:rPr>
        <w:tab/>
        <w:t xml:space="preserve">ביום 19.12.2022 התקיים דיון בפנינו ובו שבו הצדדים על עיקרי טענותיהם כמפורט לעיל. בהמשך לכך, לבקשתם, התרנו לצדדים להגיש השלמת טיעון מטעמם באשר למספר סוגיות שהתחדדו בדיון, לרבות ביחס למשמעותה של הוראת הבטלות הקבועה בסעיף 13א(ג)(1) לחוק. </w:t>
      </w:r>
    </w:p>
    <w:p w:rsidR="00AA280A" w:rsidRDefault="00AA280A" w:rsidP="00AA280A">
      <w:pPr>
        <w:pStyle w:val="Ruller41"/>
        <w:rPr>
          <w:rtl/>
        </w:rPr>
      </w:pPr>
    </w:p>
    <w:p w:rsidR="00AA280A" w:rsidRDefault="00722B5A" w:rsidP="00953D6F">
      <w:pPr>
        <w:pStyle w:val="Ruller41"/>
        <w:rPr>
          <w:rtl/>
        </w:rPr>
      </w:pPr>
      <w:r>
        <w:rPr>
          <w:rFonts w:hint="cs"/>
          <w:rtl/>
        </w:rPr>
        <w:t>26</w:t>
      </w:r>
      <w:r w:rsidR="00AA280A">
        <w:rPr>
          <w:rFonts w:hint="cs"/>
          <w:rtl/>
        </w:rPr>
        <w:t>.</w:t>
      </w:r>
      <w:r w:rsidR="00AA280A">
        <w:rPr>
          <w:rFonts w:hint="cs"/>
          <w:rtl/>
        </w:rPr>
        <w:tab/>
        <w:t xml:space="preserve">בהתאם לכך, ביום 26.3.2023 הוגשה השלמת טיעון מטעמה של סלקום. בעיקרו של דבר, סלקום טענה כי אף אם יימצא שלא עמדה בהוראות סעיף 13א(ג)(1) לחוק, ועל כן השירות סופק ללא חוזה מחייב, יש מקום להורות על השבה הדדית, וכי זו אינה מובילה לתוצאה הנטענת על-ידי המשיבים. לשיטתה של סלקום, בנסיבות אלו, מאחר שהשבה בעין אינה אפשרית עוד, על חברי הקבוצה להשיב את שווים הכלכלי של </w:t>
      </w:r>
      <w:r w:rsidR="00AA280A">
        <w:rPr>
          <w:rFonts w:hint="cs"/>
          <w:rtl/>
        </w:rPr>
        <w:lastRenderedPageBreak/>
        <w:t>השירותים שקיבלו מהחברה, ולצורך כך להוכיח מהו שווי השוק של התכנית שרכשו בתום תקופת ההטבה. בהקשר זה הוטעם כי אין לקבל כהנחת מוצא את הטענה ששווי השירותי</w:t>
      </w:r>
      <w:r w:rsidR="00AA280A">
        <w:rPr>
          <w:rFonts w:hint="eastAsia"/>
          <w:rtl/>
        </w:rPr>
        <w:t>ם</w:t>
      </w:r>
      <w:r w:rsidR="00AA280A">
        <w:rPr>
          <w:rFonts w:hint="cs"/>
          <w:rtl/>
        </w:rPr>
        <w:t xml:space="preserve"> זהה למחיר המוזל שניתן קודם לכן. לחלופין, סלקום הוסיפה כי יש מקום לדחות את בקשת האישור בשל כך שלא מתקיים במקרה </w:t>
      </w:r>
      <w:r w:rsidR="00953D6F">
        <w:rPr>
          <w:rFonts w:hint="cs"/>
          <w:rtl/>
        </w:rPr>
        <w:t>דנן</w:t>
      </w:r>
      <w:r w:rsidR="00AA280A">
        <w:rPr>
          <w:rFonts w:hint="cs"/>
          <w:rtl/>
        </w:rPr>
        <w:t xml:space="preserve"> תנאי ההוגנות הקבוע בסעיף 8(א)(2) לחוק תובענות ייצוגיות. זאת, בשים לב לאי-בהירות ששררה עד עתה ביחס לפרשנות הדין ובהינתן ההשלכות האפשריות של פסק הדין על סלקום, כמו גם על עוסקים אחרים במצבה. </w:t>
      </w:r>
    </w:p>
    <w:p w:rsidR="00AA280A" w:rsidRDefault="00AA280A" w:rsidP="00AA280A">
      <w:pPr>
        <w:pStyle w:val="Ruller41"/>
        <w:rPr>
          <w:rtl/>
        </w:rPr>
      </w:pPr>
    </w:p>
    <w:p w:rsidR="00AA280A" w:rsidRDefault="00722B5A" w:rsidP="00AA280A">
      <w:pPr>
        <w:pStyle w:val="Ruller41"/>
        <w:rPr>
          <w:rtl/>
        </w:rPr>
      </w:pPr>
      <w:r>
        <w:rPr>
          <w:rFonts w:hint="cs"/>
          <w:rtl/>
        </w:rPr>
        <w:t>27</w:t>
      </w:r>
      <w:r w:rsidR="00AA280A">
        <w:rPr>
          <w:rFonts w:hint="cs"/>
          <w:rtl/>
        </w:rPr>
        <w:t>.</w:t>
      </w:r>
      <w:r w:rsidR="00AA280A">
        <w:rPr>
          <w:rFonts w:hint="cs"/>
          <w:rtl/>
        </w:rPr>
        <w:tab/>
        <w:t xml:space="preserve">ביום 13.4.2023 הוגשה השלמת טיעון אף מטעם המערערים. בתמצית, המערערים טענו כי במקרה שבו הופרו הדרישות המעוגנות בסעיף 13א(ג)(1) לחוק יש לראות כבטל את התנאי הקובע את העלאת המחיר בתום תקופת ההטבה, בשונה מביטולה של ההתקשרות כולה. בהתאם, בהיעדר מקור חוזי בר-תוקף לגביית המחיר הגבוה, קמה לסלקום חובה להשיב לחברי הקבוצה את הכספים העודפים שגבתה מהם שלא כדין. כמו כן, נטען כי יש לדחות אף את טענת סלקום לפיה בנסיבות העניין ניהולה של תובענה ייצוגית אינה הדרך ההוגנת להכרעה במחלוקת. </w:t>
      </w:r>
    </w:p>
    <w:p w:rsidR="00AA280A" w:rsidRDefault="00AA280A" w:rsidP="00AA280A">
      <w:pPr>
        <w:pStyle w:val="Ruller41"/>
        <w:rPr>
          <w:rtl/>
        </w:rPr>
      </w:pPr>
    </w:p>
    <w:p w:rsidR="00AA280A" w:rsidRPr="00044568" w:rsidRDefault="00AA280A" w:rsidP="00AA280A">
      <w:pPr>
        <w:pStyle w:val="Ruller41"/>
        <w:rPr>
          <w:rFonts w:ascii="Century" w:hAnsi="Century" w:cs="Miriam"/>
          <w:b/>
          <w:spacing w:val="0"/>
          <w:szCs w:val="24"/>
          <w:rtl/>
        </w:rPr>
      </w:pPr>
      <w:r w:rsidRPr="00044568">
        <w:rPr>
          <w:rFonts w:ascii="Century" w:hAnsi="Century" w:cs="Miriam" w:hint="cs"/>
          <w:b/>
          <w:spacing w:val="0"/>
          <w:szCs w:val="24"/>
          <w:rtl/>
        </w:rPr>
        <w:t>דיון והכרעה</w:t>
      </w:r>
    </w:p>
    <w:p w:rsidR="00AA280A" w:rsidRDefault="00AA280A" w:rsidP="00AA280A">
      <w:pPr>
        <w:pStyle w:val="Ruller41"/>
        <w:rPr>
          <w:rtl/>
        </w:rPr>
      </w:pPr>
    </w:p>
    <w:p w:rsidR="00AA280A" w:rsidRPr="001D6106" w:rsidRDefault="00722B5A" w:rsidP="00AA280A">
      <w:pPr>
        <w:pStyle w:val="Ruller41"/>
        <w:rPr>
          <w:rFonts w:ascii="Century" w:hAnsi="Century"/>
          <w:rtl/>
        </w:rPr>
      </w:pPr>
      <w:r>
        <w:rPr>
          <w:rFonts w:hint="cs"/>
          <w:rtl/>
        </w:rPr>
        <w:t>28</w:t>
      </w:r>
      <w:r w:rsidR="00AA280A">
        <w:rPr>
          <w:rFonts w:hint="cs"/>
          <w:rtl/>
        </w:rPr>
        <w:t>.</w:t>
      </w:r>
      <w:r w:rsidR="00AA280A">
        <w:rPr>
          <w:rFonts w:hint="cs"/>
          <w:rtl/>
        </w:rPr>
        <w:tab/>
        <w:t>כידוע, בקשה לאישור תובענה ייצוגית היא אך שלב מקדמי, טרם הדיון בתובענה עצמה, והיא אינה המסגרת לבירור המחלוקות בין הצדדים עד תום. כפי שהובהר זה מכבר בהלכה הפסוקה, "</w:t>
      </w:r>
      <w:r w:rsidR="00AA280A" w:rsidRPr="007359BE">
        <w:rPr>
          <w:rFonts w:hint="eastAsia"/>
          <w:rtl/>
        </w:rPr>
        <w:t>זהו</w:t>
      </w:r>
      <w:r w:rsidR="00AA280A" w:rsidRPr="007359BE">
        <w:rPr>
          <w:rtl/>
        </w:rPr>
        <w:t xml:space="preserve"> </w:t>
      </w:r>
      <w:r w:rsidR="00AA280A" w:rsidRPr="007359BE">
        <w:rPr>
          <w:rFonts w:hint="eastAsia"/>
          <w:rtl/>
        </w:rPr>
        <w:t>הפרוזדור</w:t>
      </w:r>
      <w:r w:rsidR="00AA280A" w:rsidRPr="007359BE">
        <w:rPr>
          <w:rtl/>
        </w:rPr>
        <w:t xml:space="preserve"> </w:t>
      </w:r>
      <w:r w:rsidR="00AA280A" w:rsidRPr="007359BE">
        <w:rPr>
          <w:rFonts w:hint="eastAsia"/>
          <w:rtl/>
        </w:rPr>
        <w:t>שבאמצעותו</w:t>
      </w:r>
      <w:r w:rsidR="00AA280A" w:rsidRPr="007359BE">
        <w:rPr>
          <w:rtl/>
        </w:rPr>
        <w:t xml:space="preserve"> </w:t>
      </w:r>
      <w:r w:rsidR="00AA280A" w:rsidRPr="007359BE">
        <w:rPr>
          <w:rFonts w:hint="eastAsia"/>
          <w:rtl/>
        </w:rPr>
        <w:t>ניתן</w:t>
      </w:r>
      <w:r w:rsidR="00AA280A" w:rsidRPr="007359BE">
        <w:rPr>
          <w:rtl/>
        </w:rPr>
        <w:t xml:space="preserve"> </w:t>
      </w:r>
      <w:r w:rsidR="00AA280A" w:rsidRPr="007359BE">
        <w:rPr>
          <w:rFonts w:hint="eastAsia"/>
          <w:rtl/>
        </w:rPr>
        <w:t>להיכנס</w:t>
      </w:r>
      <w:r w:rsidR="00AA280A" w:rsidRPr="007359BE">
        <w:rPr>
          <w:rtl/>
        </w:rPr>
        <w:t xml:space="preserve"> </w:t>
      </w:r>
      <w:r w:rsidR="00AA280A" w:rsidRPr="007359BE">
        <w:rPr>
          <w:rFonts w:hint="eastAsia"/>
          <w:rtl/>
        </w:rPr>
        <w:t>לטרקלין</w:t>
      </w:r>
      <w:r w:rsidR="00AA280A" w:rsidRPr="007359BE">
        <w:rPr>
          <w:rtl/>
        </w:rPr>
        <w:t xml:space="preserve">, </w:t>
      </w:r>
      <w:r w:rsidR="00AA280A" w:rsidRPr="007359BE">
        <w:rPr>
          <w:rFonts w:hint="eastAsia"/>
          <w:rtl/>
        </w:rPr>
        <w:t>הוא</w:t>
      </w:r>
      <w:r w:rsidR="00AA280A" w:rsidRPr="007359BE">
        <w:rPr>
          <w:rtl/>
        </w:rPr>
        <w:t xml:space="preserve"> </w:t>
      </w:r>
      <w:r w:rsidR="00AA280A" w:rsidRPr="007359BE">
        <w:rPr>
          <w:rFonts w:hint="eastAsia"/>
          <w:rtl/>
        </w:rPr>
        <w:t>הדיון</w:t>
      </w:r>
      <w:r w:rsidR="00AA280A" w:rsidRPr="007359BE">
        <w:rPr>
          <w:rtl/>
        </w:rPr>
        <w:t xml:space="preserve"> </w:t>
      </w:r>
      <w:r w:rsidR="00AA280A" w:rsidRPr="007359BE">
        <w:rPr>
          <w:rFonts w:hint="eastAsia"/>
          <w:rtl/>
        </w:rPr>
        <w:t>במשפט</w:t>
      </w:r>
      <w:r w:rsidR="00AA280A" w:rsidRPr="007359BE">
        <w:rPr>
          <w:rtl/>
        </w:rPr>
        <w:t xml:space="preserve"> </w:t>
      </w:r>
      <w:r w:rsidR="00AA280A" w:rsidRPr="007359BE">
        <w:rPr>
          <w:rFonts w:hint="eastAsia"/>
          <w:rtl/>
        </w:rPr>
        <w:t>גופו</w:t>
      </w:r>
      <w:r w:rsidR="00AA280A">
        <w:rPr>
          <w:rFonts w:hint="cs"/>
          <w:rtl/>
        </w:rPr>
        <w:t xml:space="preserve">" (רע"א 4556/94 </w:t>
      </w:r>
      <w:proofErr w:type="spellStart"/>
      <w:r w:rsidR="00AA280A">
        <w:rPr>
          <w:rFonts w:ascii="Century" w:hAnsi="Century" w:cs="Miriam" w:hint="cs"/>
          <w:b/>
          <w:spacing w:val="0"/>
          <w:szCs w:val="24"/>
          <w:rtl/>
        </w:rPr>
        <w:t>טצת</w:t>
      </w:r>
      <w:proofErr w:type="spellEnd"/>
      <w:r w:rsidR="00AA280A">
        <w:rPr>
          <w:rFonts w:ascii="Century" w:hAnsi="Century" w:cs="Miriam" w:hint="cs"/>
          <w:b/>
          <w:spacing w:val="0"/>
          <w:szCs w:val="24"/>
          <w:rtl/>
        </w:rPr>
        <w:t xml:space="preserve"> נ' זילברשץ</w:t>
      </w:r>
      <w:r w:rsidR="00AA280A">
        <w:rPr>
          <w:rFonts w:ascii="Century" w:hAnsi="Century" w:hint="cs"/>
          <w:rtl/>
        </w:rPr>
        <w:t xml:space="preserve">, פ"ד מט(5) 774, 787 (1996). ראו גם: רע"א 729/04 </w:t>
      </w:r>
      <w:r w:rsidR="00AA280A">
        <w:rPr>
          <w:rFonts w:ascii="Century" w:hAnsi="Century" w:cs="Miriam" w:hint="cs"/>
          <w:b/>
          <w:spacing w:val="0"/>
          <w:szCs w:val="24"/>
          <w:rtl/>
        </w:rPr>
        <w:t>מדינת ישראל נ' קו מחשבה בע"מ</w:t>
      </w:r>
      <w:r w:rsidR="00AA280A">
        <w:rPr>
          <w:rFonts w:ascii="Century" w:hAnsi="Century" w:hint="cs"/>
          <w:rtl/>
        </w:rPr>
        <w:t xml:space="preserve">, פסקה 10 (26.4.2010); רע"א 9617/16 </w:t>
      </w:r>
      <w:r w:rsidR="00AA280A" w:rsidRPr="00FE1CA0">
        <w:rPr>
          <w:rFonts w:ascii="Century" w:hAnsi="Century" w:cs="Miriam" w:hint="eastAsia"/>
          <w:b/>
          <w:spacing w:val="0"/>
          <w:szCs w:val="24"/>
          <w:rtl/>
        </w:rPr>
        <w:t>בנק</w:t>
      </w:r>
      <w:r w:rsidR="00AA280A" w:rsidRPr="00FE1CA0">
        <w:rPr>
          <w:rFonts w:ascii="Century" w:hAnsi="Century" w:cs="Miriam"/>
          <w:b/>
          <w:spacing w:val="0"/>
          <w:szCs w:val="24"/>
          <w:rtl/>
        </w:rPr>
        <w:t xml:space="preserve"> </w:t>
      </w:r>
      <w:r w:rsidR="00AA280A" w:rsidRPr="00FE1CA0">
        <w:rPr>
          <w:rFonts w:ascii="Century" w:hAnsi="Century" w:cs="Miriam" w:hint="eastAsia"/>
          <w:b/>
          <w:spacing w:val="0"/>
          <w:szCs w:val="24"/>
          <w:rtl/>
        </w:rPr>
        <w:t>דיסקונט</w:t>
      </w:r>
      <w:r w:rsidR="00AA280A" w:rsidRPr="00FE1CA0">
        <w:rPr>
          <w:rFonts w:ascii="Century" w:hAnsi="Century" w:cs="Miriam"/>
          <w:b/>
          <w:spacing w:val="0"/>
          <w:szCs w:val="24"/>
          <w:rtl/>
        </w:rPr>
        <w:t xml:space="preserve"> </w:t>
      </w:r>
      <w:r w:rsidR="00AA280A" w:rsidRPr="00FE1CA0">
        <w:rPr>
          <w:rFonts w:ascii="Century" w:hAnsi="Century" w:cs="Miriam" w:hint="eastAsia"/>
          <w:b/>
          <w:spacing w:val="0"/>
          <w:szCs w:val="24"/>
          <w:rtl/>
        </w:rPr>
        <w:t>לישראל</w:t>
      </w:r>
      <w:r w:rsidR="00AA280A" w:rsidRPr="00FE1CA0">
        <w:rPr>
          <w:rFonts w:ascii="Century" w:hAnsi="Century" w:cs="Miriam"/>
          <w:b/>
          <w:spacing w:val="0"/>
          <w:szCs w:val="24"/>
          <w:rtl/>
        </w:rPr>
        <w:t xml:space="preserve"> </w:t>
      </w:r>
      <w:r w:rsidR="00AA280A" w:rsidRPr="00FE1CA0">
        <w:rPr>
          <w:rFonts w:ascii="Century" w:hAnsi="Century" w:cs="Miriam" w:hint="eastAsia"/>
          <w:b/>
          <w:spacing w:val="0"/>
          <w:szCs w:val="24"/>
          <w:rtl/>
        </w:rPr>
        <w:t>בע</w:t>
      </w:r>
      <w:r w:rsidR="00AA280A" w:rsidRPr="00FE1CA0">
        <w:rPr>
          <w:rFonts w:ascii="Century" w:hAnsi="Century" w:cs="Miriam"/>
          <w:b/>
          <w:spacing w:val="0"/>
          <w:szCs w:val="24"/>
          <w:rtl/>
        </w:rPr>
        <w:t>"</w:t>
      </w:r>
      <w:r w:rsidR="00AA280A" w:rsidRPr="00FE1CA0">
        <w:rPr>
          <w:rFonts w:ascii="Century" w:hAnsi="Century" w:cs="Miriam" w:hint="eastAsia"/>
          <w:b/>
          <w:spacing w:val="0"/>
          <w:szCs w:val="24"/>
          <w:rtl/>
        </w:rPr>
        <w:t>מ</w:t>
      </w:r>
      <w:r w:rsidR="00AA280A" w:rsidRPr="00FE1CA0">
        <w:rPr>
          <w:rFonts w:ascii="Century" w:hAnsi="Century" w:cs="Miriam"/>
          <w:b/>
          <w:spacing w:val="0"/>
          <w:szCs w:val="24"/>
          <w:rtl/>
        </w:rPr>
        <w:t xml:space="preserve"> </w:t>
      </w:r>
      <w:r w:rsidR="00AA280A" w:rsidRPr="00FE1CA0">
        <w:rPr>
          <w:rFonts w:ascii="Century" w:hAnsi="Century" w:cs="Miriam" w:hint="eastAsia"/>
          <w:b/>
          <w:spacing w:val="0"/>
          <w:szCs w:val="24"/>
          <w:rtl/>
        </w:rPr>
        <w:t>נ</w:t>
      </w:r>
      <w:r w:rsidR="00AA280A" w:rsidRPr="00FE1CA0">
        <w:rPr>
          <w:rFonts w:ascii="Century" w:hAnsi="Century" w:cs="Miriam"/>
          <w:b/>
          <w:spacing w:val="0"/>
          <w:szCs w:val="24"/>
          <w:rtl/>
        </w:rPr>
        <w:t xml:space="preserve">' </w:t>
      </w:r>
      <w:proofErr w:type="spellStart"/>
      <w:r w:rsidR="00AA280A" w:rsidRPr="00FE1CA0">
        <w:rPr>
          <w:rFonts w:ascii="Century" w:hAnsi="Century" w:cs="Miriam" w:hint="eastAsia"/>
          <w:b/>
          <w:spacing w:val="0"/>
          <w:szCs w:val="24"/>
          <w:rtl/>
        </w:rPr>
        <w:t>לפינר</w:t>
      </w:r>
      <w:proofErr w:type="spellEnd"/>
      <w:r w:rsidR="00AA280A">
        <w:rPr>
          <w:rFonts w:ascii="Century" w:hAnsi="Century" w:hint="cs"/>
          <w:rtl/>
        </w:rPr>
        <w:t>, פסקה 16 (28.10.2018)</w:t>
      </w:r>
      <w:r w:rsidR="00953D6F">
        <w:rPr>
          <w:rFonts w:ascii="Century" w:hAnsi="Century" w:hint="cs"/>
          <w:rtl/>
        </w:rPr>
        <w:t xml:space="preserve"> (להלן: עניין </w:t>
      </w:r>
      <w:proofErr w:type="spellStart"/>
      <w:r w:rsidR="00953D6F" w:rsidRPr="00953D6F">
        <w:rPr>
          <w:rFonts w:ascii="Century" w:hAnsi="Century" w:cs="Miriam" w:hint="cs"/>
          <w:b/>
          <w:spacing w:val="0"/>
          <w:szCs w:val="24"/>
          <w:rtl/>
        </w:rPr>
        <w:t>לפניר</w:t>
      </w:r>
      <w:proofErr w:type="spellEnd"/>
      <w:r w:rsidR="00953D6F">
        <w:rPr>
          <w:rFonts w:ascii="Century" w:hAnsi="Century" w:hint="cs"/>
          <w:rtl/>
        </w:rPr>
        <w:t>)</w:t>
      </w:r>
      <w:r w:rsidR="00AA280A">
        <w:rPr>
          <w:rFonts w:ascii="Century" w:hAnsi="Century" w:hint="cs"/>
          <w:rtl/>
        </w:rPr>
        <w:t>). לצד זאת, הובהר כי "</w:t>
      </w:r>
      <w:r w:rsidR="00AA280A" w:rsidRPr="009732B6">
        <w:rPr>
          <w:rFonts w:ascii="Century" w:hAnsi="Century" w:hint="eastAsia"/>
          <w:rtl/>
        </w:rPr>
        <w:t>ראוי</w:t>
      </w:r>
      <w:r w:rsidR="00AA280A" w:rsidRPr="009732B6">
        <w:rPr>
          <w:rFonts w:ascii="Century" w:hAnsi="Century"/>
          <w:rtl/>
        </w:rPr>
        <w:t xml:space="preserve"> </w:t>
      </w:r>
      <w:r w:rsidR="00AA280A" w:rsidRPr="009732B6">
        <w:rPr>
          <w:rFonts w:ascii="Century" w:hAnsi="Century" w:hint="eastAsia"/>
          <w:rtl/>
        </w:rPr>
        <w:t>לעבור</w:t>
      </w:r>
      <w:r w:rsidR="00AA280A" w:rsidRPr="009732B6">
        <w:rPr>
          <w:rFonts w:ascii="Century" w:hAnsi="Century"/>
          <w:rtl/>
        </w:rPr>
        <w:t xml:space="preserve"> </w:t>
      </w:r>
      <w:r w:rsidR="00AA280A" w:rsidRPr="009732B6">
        <w:rPr>
          <w:rFonts w:ascii="Century" w:hAnsi="Century" w:hint="eastAsia"/>
          <w:rtl/>
        </w:rPr>
        <w:t>פרוזדור</w:t>
      </w:r>
      <w:r w:rsidR="00AA280A" w:rsidRPr="009732B6">
        <w:rPr>
          <w:rFonts w:ascii="Century" w:hAnsi="Century"/>
          <w:rtl/>
        </w:rPr>
        <w:t xml:space="preserve"> </w:t>
      </w:r>
      <w:r w:rsidR="00AA280A" w:rsidRPr="009732B6">
        <w:rPr>
          <w:rFonts w:ascii="Century" w:hAnsi="Century" w:hint="eastAsia"/>
          <w:rtl/>
        </w:rPr>
        <w:t>זה</w:t>
      </w:r>
      <w:r w:rsidR="00AA280A" w:rsidRPr="009732B6">
        <w:rPr>
          <w:rFonts w:ascii="Century" w:hAnsi="Century"/>
          <w:rtl/>
        </w:rPr>
        <w:t xml:space="preserve"> </w:t>
      </w:r>
      <w:r w:rsidR="00AA280A" w:rsidRPr="009732B6">
        <w:rPr>
          <w:rFonts w:ascii="Century" w:hAnsi="Century" w:hint="eastAsia"/>
          <w:rtl/>
        </w:rPr>
        <w:t>בזהירות</w:t>
      </w:r>
      <w:r w:rsidR="00AA280A" w:rsidRPr="009732B6">
        <w:rPr>
          <w:rFonts w:ascii="Century" w:hAnsi="Century"/>
          <w:rtl/>
        </w:rPr>
        <w:t xml:space="preserve"> </w:t>
      </w:r>
      <w:r w:rsidR="00AA280A" w:rsidRPr="009732B6">
        <w:rPr>
          <w:rFonts w:ascii="Century" w:hAnsi="Century" w:hint="eastAsia"/>
          <w:rtl/>
        </w:rPr>
        <w:t>מרובה</w:t>
      </w:r>
      <w:r w:rsidR="00AA280A" w:rsidRPr="009732B6">
        <w:rPr>
          <w:rFonts w:ascii="Century" w:hAnsi="Century"/>
          <w:rtl/>
        </w:rPr>
        <w:t xml:space="preserve"> </w:t>
      </w:r>
      <w:proofErr w:type="spellStart"/>
      <w:r w:rsidR="00AA280A" w:rsidRPr="009732B6">
        <w:rPr>
          <w:rFonts w:ascii="Century" w:hAnsi="Century" w:hint="eastAsia"/>
          <w:rtl/>
        </w:rPr>
        <w:t>וליתן</w:t>
      </w:r>
      <w:proofErr w:type="spellEnd"/>
      <w:r w:rsidR="00AA280A" w:rsidRPr="009732B6">
        <w:rPr>
          <w:rFonts w:ascii="Century" w:hAnsi="Century"/>
          <w:rtl/>
        </w:rPr>
        <w:t xml:space="preserve"> </w:t>
      </w:r>
      <w:r w:rsidR="00AA280A" w:rsidRPr="009732B6">
        <w:rPr>
          <w:rFonts w:ascii="Century" w:hAnsi="Century" w:hint="eastAsia"/>
          <w:rtl/>
        </w:rPr>
        <w:t>את</w:t>
      </w:r>
      <w:r w:rsidR="00AA280A" w:rsidRPr="009732B6">
        <w:rPr>
          <w:rFonts w:ascii="Century" w:hAnsi="Century"/>
          <w:rtl/>
        </w:rPr>
        <w:t xml:space="preserve"> </w:t>
      </w:r>
      <w:r w:rsidR="00AA280A" w:rsidRPr="009732B6">
        <w:rPr>
          <w:rFonts w:ascii="Century" w:hAnsi="Century" w:hint="eastAsia"/>
          <w:rtl/>
        </w:rPr>
        <w:t>הרשות</w:t>
      </w:r>
      <w:r w:rsidR="00AA280A" w:rsidRPr="009732B6">
        <w:rPr>
          <w:rFonts w:ascii="Century" w:hAnsi="Century"/>
          <w:rtl/>
        </w:rPr>
        <w:t xml:space="preserve"> </w:t>
      </w:r>
      <w:r w:rsidR="00AA280A" w:rsidRPr="009732B6">
        <w:rPr>
          <w:rFonts w:ascii="Century" w:hAnsi="Century" w:hint="eastAsia"/>
          <w:rtl/>
        </w:rPr>
        <w:t>רק</w:t>
      </w:r>
      <w:r w:rsidR="00AA280A" w:rsidRPr="009732B6">
        <w:rPr>
          <w:rFonts w:ascii="Century" w:hAnsi="Century"/>
          <w:rtl/>
        </w:rPr>
        <w:t xml:space="preserve"> </w:t>
      </w:r>
      <w:r w:rsidR="00AA280A" w:rsidRPr="009732B6">
        <w:rPr>
          <w:rFonts w:ascii="Century" w:hAnsi="Century" w:hint="eastAsia"/>
          <w:rtl/>
        </w:rPr>
        <w:t>במקרים</w:t>
      </w:r>
      <w:r w:rsidR="00AA280A" w:rsidRPr="009732B6">
        <w:rPr>
          <w:rFonts w:ascii="Century" w:hAnsi="Century"/>
          <w:rtl/>
        </w:rPr>
        <w:t xml:space="preserve"> </w:t>
      </w:r>
      <w:r w:rsidR="00AA280A" w:rsidRPr="009732B6">
        <w:rPr>
          <w:rFonts w:ascii="Century" w:hAnsi="Century" w:hint="eastAsia"/>
          <w:rtl/>
        </w:rPr>
        <w:t>המתאימים</w:t>
      </w:r>
      <w:r w:rsidR="00AA280A" w:rsidRPr="009732B6">
        <w:rPr>
          <w:rFonts w:ascii="Century" w:hAnsi="Century"/>
          <w:rtl/>
        </w:rPr>
        <w:t xml:space="preserve"> </w:t>
      </w:r>
      <w:r w:rsidR="00AA280A" w:rsidRPr="009732B6">
        <w:rPr>
          <w:rFonts w:ascii="Century" w:hAnsi="Century" w:hint="eastAsia"/>
          <w:rtl/>
        </w:rPr>
        <w:t>העונים</w:t>
      </w:r>
      <w:r w:rsidR="00AA280A" w:rsidRPr="009732B6">
        <w:rPr>
          <w:rFonts w:ascii="Century" w:hAnsi="Century"/>
          <w:rtl/>
        </w:rPr>
        <w:t xml:space="preserve"> </w:t>
      </w:r>
      <w:r w:rsidR="00AA280A" w:rsidRPr="009732B6">
        <w:rPr>
          <w:rFonts w:ascii="Century" w:hAnsi="Century" w:hint="eastAsia"/>
          <w:rtl/>
        </w:rPr>
        <w:t>על</w:t>
      </w:r>
      <w:r w:rsidR="00AA280A" w:rsidRPr="009732B6">
        <w:rPr>
          <w:rFonts w:ascii="Century" w:hAnsi="Century"/>
          <w:rtl/>
        </w:rPr>
        <w:t xml:space="preserve"> </w:t>
      </w:r>
      <w:r w:rsidR="00AA280A" w:rsidRPr="009732B6">
        <w:rPr>
          <w:rFonts w:ascii="Century" w:hAnsi="Century" w:hint="eastAsia"/>
          <w:rtl/>
        </w:rPr>
        <w:t>כל</w:t>
      </w:r>
      <w:r w:rsidR="00AA280A" w:rsidRPr="009732B6">
        <w:rPr>
          <w:rFonts w:ascii="Century" w:hAnsi="Century"/>
          <w:rtl/>
        </w:rPr>
        <w:t xml:space="preserve"> </w:t>
      </w:r>
      <w:r w:rsidR="00AA280A" w:rsidRPr="009732B6">
        <w:rPr>
          <w:rFonts w:ascii="Century" w:hAnsi="Century" w:hint="eastAsia"/>
          <w:rtl/>
        </w:rPr>
        <w:t>התנאים</w:t>
      </w:r>
      <w:r w:rsidR="00AA280A" w:rsidRPr="009732B6">
        <w:rPr>
          <w:rFonts w:ascii="Century" w:hAnsi="Century"/>
          <w:rtl/>
        </w:rPr>
        <w:t xml:space="preserve"> </w:t>
      </w:r>
      <w:r w:rsidR="00AA280A" w:rsidRPr="009732B6">
        <w:rPr>
          <w:rFonts w:ascii="Century" w:hAnsi="Century" w:hint="eastAsia"/>
          <w:rtl/>
        </w:rPr>
        <w:t>הדרושים</w:t>
      </w:r>
      <w:r w:rsidR="00AA280A">
        <w:rPr>
          <w:rFonts w:ascii="Century" w:hAnsi="Century" w:hint="cs"/>
          <w:rtl/>
        </w:rPr>
        <w:t>" (</w:t>
      </w:r>
      <w:r w:rsidR="00AA280A" w:rsidRPr="009732B6">
        <w:rPr>
          <w:rFonts w:ascii="Century" w:hAnsi="Century" w:hint="eastAsia"/>
          <w:rtl/>
        </w:rPr>
        <w:t>רע</w:t>
      </w:r>
      <w:r w:rsidR="00AA280A" w:rsidRPr="009732B6">
        <w:rPr>
          <w:rFonts w:ascii="Century" w:hAnsi="Century"/>
          <w:rtl/>
        </w:rPr>
        <w:t>"</w:t>
      </w:r>
      <w:r w:rsidR="00AA280A" w:rsidRPr="009732B6">
        <w:rPr>
          <w:rFonts w:ascii="Century" w:hAnsi="Century" w:hint="eastAsia"/>
          <w:rtl/>
        </w:rPr>
        <w:t>א</w:t>
      </w:r>
      <w:r w:rsidR="00AA280A" w:rsidRPr="009732B6">
        <w:rPr>
          <w:rFonts w:ascii="Century" w:hAnsi="Century"/>
          <w:rtl/>
        </w:rPr>
        <w:t xml:space="preserve"> 6567/97 </w:t>
      </w:r>
      <w:r w:rsidR="00AA280A" w:rsidRPr="009701F4">
        <w:rPr>
          <w:rFonts w:ascii="Century" w:hAnsi="Century" w:cs="Miriam" w:hint="eastAsia"/>
          <w:b/>
          <w:spacing w:val="0"/>
          <w:szCs w:val="24"/>
          <w:rtl/>
        </w:rPr>
        <w:t>בזק</w:t>
      </w:r>
      <w:r w:rsidR="00AA280A" w:rsidRPr="009701F4">
        <w:rPr>
          <w:rFonts w:ascii="Century" w:hAnsi="Century" w:cs="Miriam"/>
          <w:b/>
          <w:spacing w:val="0"/>
          <w:szCs w:val="24"/>
          <w:rtl/>
        </w:rPr>
        <w:t xml:space="preserve"> – </w:t>
      </w:r>
      <w:r w:rsidR="00AA280A" w:rsidRPr="009701F4">
        <w:rPr>
          <w:rFonts w:ascii="Century" w:hAnsi="Century" w:cs="Miriam" w:hint="eastAsia"/>
          <w:b/>
          <w:spacing w:val="0"/>
          <w:szCs w:val="24"/>
          <w:rtl/>
        </w:rPr>
        <w:t>החברה</w:t>
      </w:r>
      <w:r w:rsidR="00AA280A" w:rsidRPr="009701F4">
        <w:rPr>
          <w:rFonts w:ascii="Century" w:hAnsi="Century" w:cs="Miriam"/>
          <w:b/>
          <w:spacing w:val="0"/>
          <w:szCs w:val="24"/>
          <w:rtl/>
        </w:rPr>
        <w:t xml:space="preserve"> </w:t>
      </w:r>
      <w:r w:rsidR="00AA280A" w:rsidRPr="009701F4">
        <w:rPr>
          <w:rFonts w:ascii="Century" w:hAnsi="Century" w:cs="Miriam" w:hint="eastAsia"/>
          <w:b/>
          <w:spacing w:val="0"/>
          <w:szCs w:val="24"/>
          <w:rtl/>
        </w:rPr>
        <w:t>הישראלית</w:t>
      </w:r>
      <w:r w:rsidR="00AA280A" w:rsidRPr="009701F4">
        <w:rPr>
          <w:rFonts w:ascii="Century" w:hAnsi="Century" w:cs="Miriam"/>
          <w:b/>
          <w:spacing w:val="0"/>
          <w:szCs w:val="24"/>
          <w:rtl/>
        </w:rPr>
        <w:t xml:space="preserve"> </w:t>
      </w:r>
      <w:r w:rsidR="00AA280A" w:rsidRPr="009701F4">
        <w:rPr>
          <w:rFonts w:ascii="Century" w:hAnsi="Century" w:cs="Miriam" w:hint="eastAsia"/>
          <w:b/>
          <w:spacing w:val="0"/>
          <w:szCs w:val="24"/>
          <w:rtl/>
        </w:rPr>
        <w:t>לתקשורת</w:t>
      </w:r>
      <w:r w:rsidR="00AA280A" w:rsidRPr="009701F4">
        <w:rPr>
          <w:rFonts w:ascii="Century" w:hAnsi="Century" w:cs="Miriam"/>
          <w:b/>
          <w:spacing w:val="0"/>
          <w:szCs w:val="24"/>
          <w:rtl/>
        </w:rPr>
        <w:t xml:space="preserve"> </w:t>
      </w:r>
      <w:r w:rsidR="00AA280A" w:rsidRPr="009701F4">
        <w:rPr>
          <w:rFonts w:ascii="Century" w:hAnsi="Century" w:cs="Miriam" w:hint="eastAsia"/>
          <w:b/>
          <w:spacing w:val="0"/>
          <w:szCs w:val="24"/>
          <w:rtl/>
        </w:rPr>
        <w:t>בע</w:t>
      </w:r>
      <w:r w:rsidR="00AA280A" w:rsidRPr="009701F4">
        <w:rPr>
          <w:rFonts w:ascii="Century" w:hAnsi="Century" w:cs="Miriam"/>
          <w:b/>
          <w:spacing w:val="0"/>
          <w:szCs w:val="24"/>
          <w:rtl/>
        </w:rPr>
        <w:t>"</w:t>
      </w:r>
      <w:r w:rsidR="00AA280A" w:rsidRPr="009701F4">
        <w:rPr>
          <w:rFonts w:ascii="Century" w:hAnsi="Century" w:cs="Miriam" w:hint="eastAsia"/>
          <w:b/>
          <w:spacing w:val="0"/>
          <w:szCs w:val="24"/>
          <w:rtl/>
        </w:rPr>
        <w:t>מ</w:t>
      </w:r>
      <w:r w:rsidR="00AA280A" w:rsidRPr="009701F4">
        <w:rPr>
          <w:rFonts w:ascii="Century" w:hAnsi="Century" w:cs="Miriam"/>
          <w:b/>
          <w:spacing w:val="0"/>
          <w:szCs w:val="24"/>
          <w:rtl/>
        </w:rPr>
        <w:t xml:space="preserve"> </w:t>
      </w:r>
      <w:r w:rsidR="00AA280A" w:rsidRPr="009701F4">
        <w:rPr>
          <w:rFonts w:ascii="Century" w:hAnsi="Century" w:cs="Miriam" w:hint="eastAsia"/>
          <w:b/>
          <w:spacing w:val="0"/>
          <w:szCs w:val="24"/>
          <w:rtl/>
        </w:rPr>
        <w:t>נ</w:t>
      </w:r>
      <w:r w:rsidR="00AA280A" w:rsidRPr="009701F4">
        <w:rPr>
          <w:rFonts w:ascii="Century" w:hAnsi="Century" w:cs="Miriam"/>
          <w:b/>
          <w:spacing w:val="0"/>
          <w:szCs w:val="24"/>
          <w:rtl/>
        </w:rPr>
        <w:t xml:space="preserve">' </w:t>
      </w:r>
      <w:r w:rsidR="00AA280A" w:rsidRPr="009701F4">
        <w:rPr>
          <w:rFonts w:ascii="Century" w:hAnsi="Century" w:cs="Miriam" w:hint="eastAsia"/>
          <w:b/>
          <w:spacing w:val="0"/>
          <w:szCs w:val="24"/>
          <w:rtl/>
        </w:rPr>
        <w:t>עיזבון</w:t>
      </w:r>
      <w:r w:rsidR="00AA280A" w:rsidRPr="009701F4">
        <w:rPr>
          <w:rFonts w:ascii="Century" w:hAnsi="Century" w:cs="Miriam"/>
          <w:b/>
          <w:spacing w:val="0"/>
          <w:szCs w:val="24"/>
          <w:rtl/>
        </w:rPr>
        <w:t xml:space="preserve"> </w:t>
      </w:r>
      <w:r w:rsidR="00AA280A" w:rsidRPr="009701F4">
        <w:rPr>
          <w:rFonts w:ascii="Century" w:hAnsi="Century" w:cs="Miriam" w:hint="eastAsia"/>
          <w:b/>
          <w:spacing w:val="0"/>
          <w:szCs w:val="24"/>
          <w:rtl/>
        </w:rPr>
        <w:t>המנוח</w:t>
      </w:r>
      <w:r w:rsidR="00AA280A" w:rsidRPr="009701F4">
        <w:rPr>
          <w:rFonts w:ascii="Century" w:hAnsi="Century" w:cs="Miriam"/>
          <w:b/>
          <w:spacing w:val="0"/>
          <w:szCs w:val="24"/>
          <w:rtl/>
        </w:rPr>
        <w:t xml:space="preserve"> </w:t>
      </w:r>
      <w:r w:rsidR="00AA280A" w:rsidRPr="009701F4">
        <w:rPr>
          <w:rFonts w:ascii="Century" w:hAnsi="Century" w:cs="Miriam" w:hint="eastAsia"/>
          <w:b/>
          <w:spacing w:val="0"/>
          <w:szCs w:val="24"/>
          <w:rtl/>
        </w:rPr>
        <w:t>אליהו</w:t>
      </w:r>
      <w:r w:rsidR="00AA280A" w:rsidRPr="009701F4">
        <w:rPr>
          <w:rFonts w:ascii="Century" w:hAnsi="Century" w:cs="Miriam"/>
          <w:b/>
          <w:spacing w:val="0"/>
          <w:szCs w:val="24"/>
          <w:rtl/>
        </w:rPr>
        <w:t xml:space="preserve"> </w:t>
      </w:r>
      <w:r w:rsidR="00AA280A" w:rsidRPr="009701F4">
        <w:rPr>
          <w:rFonts w:ascii="Century" w:hAnsi="Century" w:cs="Miriam" w:hint="eastAsia"/>
          <w:b/>
          <w:spacing w:val="0"/>
          <w:szCs w:val="24"/>
          <w:rtl/>
        </w:rPr>
        <w:t>גת</w:t>
      </w:r>
      <w:r w:rsidR="00AA280A" w:rsidRPr="009732B6">
        <w:rPr>
          <w:rFonts w:ascii="Century" w:hAnsi="Century"/>
          <w:rtl/>
        </w:rPr>
        <w:t xml:space="preserve">, </w:t>
      </w:r>
      <w:r w:rsidR="00AA280A" w:rsidRPr="009732B6">
        <w:rPr>
          <w:rFonts w:ascii="Century" w:hAnsi="Century" w:hint="eastAsia"/>
          <w:rtl/>
        </w:rPr>
        <w:t>פ</w:t>
      </w:r>
      <w:r w:rsidR="00AA280A" w:rsidRPr="009732B6">
        <w:rPr>
          <w:rFonts w:ascii="Century" w:hAnsi="Century"/>
          <w:rtl/>
        </w:rPr>
        <w:t>"</w:t>
      </w:r>
      <w:r w:rsidR="00AA280A" w:rsidRPr="009732B6">
        <w:rPr>
          <w:rFonts w:ascii="Century" w:hAnsi="Century" w:hint="eastAsia"/>
          <w:rtl/>
        </w:rPr>
        <w:t>ד</w:t>
      </w:r>
      <w:r w:rsidR="00AA280A" w:rsidRPr="009732B6">
        <w:rPr>
          <w:rFonts w:ascii="Century" w:hAnsi="Century"/>
          <w:rtl/>
        </w:rPr>
        <w:t xml:space="preserve"> </w:t>
      </w:r>
      <w:r w:rsidR="00AA280A" w:rsidRPr="009732B6">
        <w:rPr>
          <w:rFonts w:ascii="Century" w:hAnsi="Century" w:hint="eastAsia"/>
          <w:rtl/>
        </w:rPr>
        <w:t>נב</w:t>
      </w:r>
      <w:r w:rsidR="00AA280A" w:rsidRPr="009732B6">
        <w:rPr>
          <w:rFonts w:ascii="Century" w:hAnsi="Century"/>
          <w:rtl/>
        </w:rPr>
        <w:t>(2) 713, 720 (1998)</w:t>
      </w:r>
      <w:r w:rsidR="00AA280A">
        <w:rPr>
          <w:rFonts w:ascii="Century" w:hAnsi="Century" w:hint="cs"/>
          <w:rtl/>
        </w:rPr>
        <w:t xml:space="preserve">). בערעור שבפנינו, הכרעתנו דרושה בשאלה האם על פני הדברים קמה </w:t>
      </w:r>
      <w:r w:rsidR="00AA280A">
        <w:rPr>
          <w:rFonts w:ascii="Century" w:hAnsi="Century" w:cs="Miriam" w:hint="cs"/>
          <w:b/>
          <w:spacing w:val="0"/>
          <w:szCs w:val="24"/>
          <w:rtl/>
        </w:rPr>
        <w:t>עילת תביעה לכאורה</w:t>
      </w:r>
      <w:r w:rsidR="00AA280A">
        <w:rPr>
          <w:rFonts w:ascii="Century" w:hAnsi="Century" w:hint="cs"/>
          <w:rtl/>
        </w:rPr>
        <w:t xml:space="preserve"> </w:t>
      </w:r>
      <w:r w:rsidR="00AA280A">
        <w:rPr>
          <w:rFonts w:ascii="FrankRuehl" w:hAnsi="FrankRuehl"/>
          <w:color w:val="000000"/>
          <w:sz w:val="28"/>
          <w:rtl/>
        </w:rPr>
        <w:t xml:space="preserve">ובהתאם, </w:t>
      </w:r>
      <w:r w:rsidR="00AA280A">
        <w:rPr>
          <w:rFonts w:ascii="FrankRuehl" w:hAnsi="FrankRuehl" w:hint="cs"/>
          <w:color w:val="000000"/>
          <w:sz w:val="28"/>
          <w:rtl/>
        </w:rPr>
        <w:t>כהוראת סעיף 8(א)(1) לחוק תובענות ייצוגיות, ה</w:t>
      </w:r>
      <w:r w:rsidR="00AA280A">
        <w:rPr>
          <w:rFonts w:ascii="FrankRuehl" w:hAnsi="FrankRuehl"/>
          <w:color w:val="000000"/>
          <w:sz w:val="28"/>
          <w:rtl/>
        </w:rPr>
        <w:t xml:space="preserve">אם יש "אפשרות סבירה" </w:t>
      </w:r>
      <w:r w:rsidR="00AA280A">
        <w:rPr>
          <w:rFonts w:ascii="FrankRuehl" w:hAnsi="FrankRuehl" w:hint="cs"/>
          <w:color w:val="000000"/>
          <w:sz w:val="28"/>
          <w:rtl/>
        </w:rPr>
        <w:t xml:space="preserve">שהשאלות </w:t>
      </w:r>
      <w:r w:rsidR="00AA280A">
        <w:rPr>
          <w:rFonts w:ascii="Century" w:hAnsi="Century" w:hint="cs"/>
          <w:rtl/>
        </w:rPr>
        <w:t>המתעוררות בתובענה יוכרעו לטובת חברי הקבוצה. מנקודת מבט לכאורית זו בחנתי את השאלות שהונחו בפנינו.</w:t>
      </w:r>
    </w:p>
    <w:p w:rsidR="00AA280A" w:rsidRDefault="00AA280A" w:rsidP="00AA280A">
      <w:pPr>
        <w:pStyle w:val="Ruller41"/>
        <w:rPr>
          <w:rtl/>
        </w:rPr>
      </w:pPr>
    </w:p>
    <w:p w:rsidR="00AA280A" w:rsidRDefault="00722B5A" w:rsidP="00AA280A">
      <w:pPr>
        <w:pStyle w:val="Ruller41"/>
        <w:rPr>
          <w:rtl/>
        </w:rPr>
      </w:pPr>
      <w:r>
        <w:rPr>
          <w:rFonts w:hint="cs"/>
          <w:rtl/>
        </w:rPr>
        <w:t>29</w:t>
      </w:r>
      <w:r w:rsidR="00AA280A">
        <w:rPr>
          <w:rFonts w:hint="cs"/>
          <w:rtl/>
        </w:rPr>
        <w:t>.</w:t>
      </w:r>
      <w:r w:rsidR="00AA280A">
        <w:rPr>
          <w:rFonts w:hint="cs"/>
          <w:rtl/>
        </w:rPr>
        <w:tab/>
        <w:t xml:space="preserve">אם כן, בשלב זה עלינו "להיכנס לעובי הקורה" ולהידרש לשלוש שאלות עיקריות שהצדדים חלוקים לגביהן. ראשית, מה היקף חובתו של העוסק להודיע לצרכן </w:t>
      </w:r>
      <w:r w:rsidR="00AA280A">
        <w:rPr>
          <w:rFonts w:hint="cs"/>
          <w:rtl/>
        </w:rPr>
        <w:lastRenderedPageBreak/>
        <w:t>על סיום תקופת ההטבה בהתאם לסעיף 13א(ב) לחוק, בשים לב לדרכי היידוע השונות המנויות בו? שנית, כיצד יש לפרש את סעיף 13א(ד)(2) לחוק, אשר בהתקיים התנאים הקבועים בו (לרבות "הודעה בהתאם לסעיף קטן (ב)"), יתאפשר (כחריג) המשך ההתקשרות במחיר גבוה יותר, אף ללא הסכמה מפורשת של הצרכן? שלישית, מהו הסעד שניתן לפסוק במקרה שבו העוסק הפר את חובת היידוע המוטלת עליו אך בפועל המשיך לחייב את הצרכן במחיר הגבוה?</w:t>
      </w:r>
    </w:p>
    <w:p w:rsidR="00AA280A" w:rsidRDefault="00AA280A" w:rsidP="00AA280A">
      <w:pPr>
        <w:pStyle w:val="Ruller41"/>
        <w:rPr>
          <w:rtl/>
        </w:rPr>
      </w:pPr>
    </w:p>
    <w:p w:rsidR="00AA280A" w:rsidRPr="00F00545" w:rsidRDefault="00722B5A" w:rsidP="00AA280A">
      <w:pPr>
        <w:pStyle w:val="Ruller41"/>
        <w:rPr>
          <w:rtl/>
        </w:rPr>
      </w:pPr>
      <w:r>
        <w:rPr>
          <w:rFonts w:hint="cs"/>
          <w:rtl/>
        </w:rPr>
        <w:t>30</w:t>
      </w:r>
      <w:r w:rsidR="00AA280A">
        <w:rPr>
          <w:rFonts w:hint="cs"/>
          <w:rtl/>
        </w:rPr>
        <w:t xml:space="preserve">. </w:t>
      </w:r>
      <w:r w:rsidR="00AA280A">
        <w:rPr>
          <w:rFonts w:hint="cs"/>
          <w:rtl/>
        </w:rPr>
        <w:tab/>
        <w:t>לאחר שבחנתי את טענות הצדדים אני סבורה שדין הערעור להתקבל, כמפורט להלן. כנדבך ראשון לעמדתי משמשת העמדה הפרשנית שהייתה מקובלת גם על</w:t>
      </w:r>
      <w:r w:rsidR="00953D6F">
        <w:rPr>
          <w:rFonts w:hint="cs"/>
          <w:rtl/>
        </w:rPr>
        <w:t xml:space="preserve"> בית המשפט המחוזי ולפיה יש לפרש</w:t>
      </w:r>
      <w:r w:rsidR="00AA280A">
        <w:rPr>
          <w:rFonts w:hint="cs"/>
          <w:rtl/>
        </w:rPr>
        <w:t xml:space="preserve"> את סעיף 13א(ב) לחוק הגנת הצרכן באופן המחייב את העוסק לשלוח הודעה נפרדת ועצמאית המעמידה את הצרכן על כך שתקופת המבצע של המחיר המוזל הגיעה אל סיומה – בנוסף לדרכי היידוע האחרות המנויות בו. בהמשך לכך, בכל הנוגע לנדבך השני של הכרעתי, מצאתי ללכת כברת דרך נוספת מעבר לזו שהלך בית המשפט המחוזי. לשיטתי, כל עוד לא נמסרה הודעה נפרדת כאמור, יחול הכלל לפיו לתנאי ההתייקרות בחוזה אין תוקף ויראו את ההתקשרות כבטלה במועד סיום ההטבה – ולא החריג לו. על רקע האמור, נפתחת הדלת, ולו ברמה הלכאורית הנדרשת, לתביעת השבה של הפרש המחיר שנגבה מהצרכן ביתר, כאשר הפרטים הנוגעים לכך יוכרעו בהמשך במסגרת בירור התובענה עצמה. ובקצרה: אני סבורה כי המערערים הצביעו כדין על קיומה של עילת תביעה לכאורה נגד סלקום גם ביחס לעסקה שעניינה חבילת שירותי תקשורת, ולפיכך היה מקום לקבל את בקשתם לאישור תובענה ייצוגית על שני ראשיה כאחד.</w:t>
      </w:r>
    </w:p>
    <w:p w:rsidR="00AA280A" w:rsidRDefault="00AA280A" w:rsidP="00AA280A">
      <w:pPr>
        <w:pStyle w:val="Ruller41"/>
        <w:rPr>
          <w:rtl/>
        </w:rPr>
      </w:pPr>
    </w:p>
    <w:p w:rsidR="00AA280A" w:rsidRPr="00515359" w:rsidRDefault="00AA280A" w:rsidP="00AA280A">
      <w:pPr>
        <w:pStyle w:val="Ruller41"/>
        <w:rPr>
          <w:rFonts w:ascii="Century" w:hAnsi="Century" w:cs="Miriam"/>
          <w:b/>
          <w:spacing w:val="0"/>
          <w:szCs w:val="24"/>
          <w:rtl/>
        </w:rPr>
      </w:pPr>
      <w:r w:rsidRPr="00515359">
        <w:rPr>
          <w:rFonts w:ascii="Century" w:hAnsi="Century" w:cs="Miriam" w:hint="cs"/>
          <w:b/>
          <w:spacing w:val="0"/>
          <w:szCs w:val="24"/>
          <w:rtl/>
        </w:rPr>
        <w:t>סוגיה ראשונה: הודעה נפרדת</w:t>
      </w:r>
      <w:r w:rsidR="00722B5A">
        <w:rPr>
          <w:rFonts w:ascii="Century" w:hAnsi="Century" w:cs="Miriam" w:hint="cs"/>
          <w:b/>
          <w:spacing w:val="0"/>
          <w:szCs w:val="24"/>
          <w:rtl/>
        </w:rPr>
        <w:t xml:space="preserve"> לפי סעיף 13א(ב) </w:t>
      </w:r>
      <w:r>
        <w:rPr>
          <w:rFonts w:ascii="Century" w:hAnsi="Century" w:cs="Miriam" w:hint="cs"/>
          <w:b/>
          <w:spacing w:val="0"/>
          <w:szCs w:val="24"/>
          <w:rtl/>
        </w:rPr>
        <w:t>לחוק</w:t>
      </w:r>
    </w:p>
    <w:p w:rsidR="00AA280A" w:rsidRDefault="00AA280A" w:rsidP="00AA280A">
      <w:pPr>
        <w:pStyle w:val="Ruller41"/>
        <w:rPr>
          <w:rtl/>
        </w:rPr>
      </w:pPr>
    </w:p>
    <w:p w:rsidR="00AA280A" w:rsidRDefault="00722B5A" w:rsidP="00AA280A">
      <w:pPr>
        <w:pStyle w:val="Ruller41"/>
        <w:rPr>
          <w:rtl/>
        </w:rPr>
      </w:pPr>
      <w:r>
        <w:rPr>
          <w:rFonts w:hint="cs"/>
          <w:rtl/>
        </w:rPr>
        <w:t>31</w:t>
      </w:r>
      <w:r w:rsidR="00AA280A">
        <w:rPr>
          <w:rFonts w:hint="cs"/>
          <w:rtl/>
        </w:rPr>
        <w:t xml:space="preserve">. </w:t>
      </w:r>
      <w:r w:rsidR="00AA280A">
        <w:rPr>
          <w:rFonts w:hint="cs"/>
          <w:rtl/>
        </w:rPr>
        <w:tab/>
        <w:t>כאמור, הסוגיה הראשונה שיש לדון בה ממוקדת בשאלה האם סעיף 13א(ב) לחוק מחייב את העוסק לשלוח לצרכן, בתקופה שנקבעה לכך, הודעה נפרדת ועצמאית על מועד סיומה של תקופת ההטבה. כאמור, תשובתי לכך היא בחיוב, כפי שסבר למעשה גם בית המשפט המחוזי. עם זאת, מחמת חשיבות הדברים גם להמשכו של פסק הדין, אבקש להוסיף ולהבהיר את הבסיס לכך.</w:t>
      </w:r>
    </w:p>
    <w:p w:rsidR="00AA280A" w:rsidRDefault="00AA280A" w:rsidP="00AA280A">
      <w:pPr>
        <w:pStyle w:val="Ruller41"/>
        <w:rPr>
          <w:rtl/>
        </w:rPr>
      </w:pPr>
    </w:p>
    <w:p w:rsidR="00AA280A" w:rsidRDefault="00722B5A" w:rsidP="00DB4824">
      <w:pPr>
        <w:pStyle w:val="Ruller41"/>
        <w:rPr>
          <w:rtl/>
        </w:rPr>
      </w:pPr>
      <w:r>
        <w:rPr>
          <w:rFonts w:hint="cs"/>
          <w:rtl/>
        </w:rPr>
        <w:t>32</w:t>
      </w:r>
      <w:r w:rsidR="00AA280A">
        <w:rPr>
          <w:rFonts w:hint="cs"/>
          <w:rtl/>
        </w:rPr>
        <w:t xml:space="preserve">. </w:t>
      </w:r>
      <w:r w:rsidR="00AA280A">
        <w:rPr>
          <w:rFonts w:hint="cs"/>
          <w:rtl/>
        </w:rPr>
        <w:tab/>
      </w:r>
      <w:r w:rsidR="00AA280A" w:rsidRPr="00F409C6">
        <w:rPr>
          <w:rFonts w:hint="cs"/>
          <w:rtl/>
        </w:rPr>
        <w:t xml:space="preserve"> </w:t>
      </w:r>
      <w:r w:rsidR="00AA280A">
        <w:rPr>
          <w:rFonts w:hint="cs"/>
          <w:rtl/>
        </w:rPr>
        <w:t>ראוי לפתוח את מלאכת הפרשנות בניתוח לשוני של סעיף 13א(ב) לחוק. להערכתי, בחינת נוסחו של הסעיף אינה מותירה מקום לספק באשר לכך שיש צורך במתן הודעה נפרדת ומובחנת בדבר מועד הסיום של תקופת ההטבה. כך, בחלקו הראשון מורה הסעיף כי בעסקה לתקופה קצובה "</w:t>
      </w:r>
      <w:r w:rsidR="00AA280A" w:rsidRPr="007D0308">
        <w:rPr>
          <w:rFonts w:ascii="Century" w:hAnsi="Century" w:hint="cs"/>
          <w:rtl/>
        </w:rPr>
        <w:t xml:space="preserve">יודיע </w:t>
      </w:r>
      <w:r w:rsidR="00AA280A">
        <w:rPr>
          <w:rFonts w:ascii="Century" w:hAnsi="Century" w:hint="cs"/>
          <w:rtl/>
        </w:rPr>
        <w:t xml:space="preserve">העוסק לצרכן, בתקופת ההודעה, על מועד סיום </w:t>
      </w:r>
      <w:r w:rsidR="00AA280A">
        <w:rPr>
          <w:rFonts w:ascii="Century" w:hAnsi="Century" w:hint="cs"/>
          <w:rtl/>
        </w:rPr>
        <w:lastRenderedPageBreak/>
        <w:t xml:space="preserve">העסקה או ההתחייבות". בהמשך לכך, נקבע כי "המועד האמור יצוין </w:t>
      </w:r>
      <w:r w:rsidR="00AA280A" w:rsidRPr="00F11718">
        <w:rPr>
          <w:rFonts w:ascii="Century" w:hAnsi="Century" w:cs="Miriam" w:hint="eastAsia"/>
          <w:b/>
          <w:spacing w:val="0"/>
          <w:szCs w:val="24"/>
          <w:rtl/>
        </w:rPr>
        <w:t>גם</w:t>
      </w:r>
      <w:r w:rsidR="00AA280A" w:rsidRPr="00DC7AF8">
        <w:rPr>
          <w:rFonts w:ascii="Century" w:hAnsi="Century" w:cs="Miriam"/>
          <w:b/>
          <w:spacing w:val="0"/>
          <w:szCs w:val="24"/>
          <w:rtl/>
        </w:rPr>
        <w:t xml:space="preserve"> </w:t>
      </w:r>
      <w:r w:rsidR="00AA280A" w:rsidRPr="00794725">
        <w:rPr>
          <w:rFonts w:ascii="Century" w:hAnsi="Century" w:hint="eastAsia"/>
          <w:rtl/>
        </w:rPr>
        <w:t>בכל</w:t>
      </w:r>
      <w:r w:rsidR="00AA280A" w:rsidRPr="00794725">
        <w:rPr>
          <w:rFonts w:ascii="Century" w:hAnsi="Century"/>
          <w:rtl/>
        </w:rPr>
        <w:t xml:space="preserve"> </w:t>
      </w:r>
      <w:r w:rsidR="00AA280A" w:rsidRPr="00794725">
        <w:rPr>
          <w:rFonts w:ascii="Century" w:hAnsi="Century" w:hint="eastAsia"/>
          <w:rtl/>
        </w:rPr>
        <w:t>אחד</w:t>
      </w:r>
      <w:r w:rsidR="00AA280A" w:rsidRPr="00794725">
        <w:rPr>
          <w:rFonts w:ascii="Century" w:hAnsi="Century"/>
          <w:rtl/>
        </w:rPr>
        <w:t xml:space="preserve"> </w:t>
      </w:r>
      <w:r w:rsidR="00AA280A" w:rsidRPr="00794725">
        <w:rPr>
          <w:rFonts w:ascii="Century" w:hAnsi="Century" w:hint="eastAsia"/>
          <w:rtl/>
        </w:rPr>
        <w:t>מאלה</w:t>
      </w:r>
      <w:r w:rsidR="00AA280A" w:rsidRPr="00806DD7">
        <w:rPr>
          <w:rFonts w:ascii="Century" w:hAnsi="Century" w:hint="cs"/>
          <w:rtl/>
        </w:rPr>
        <w:t>"</w:t>
      </w:r>
      <w:r w:rsidR="00AA280A">
        <w:rPr>
          <w:rFonts w:ascii="Century" w:hAnsi="Century" w:hint="cs"/>
          <w:rtl/>
        </w:rPr>
        <w:t>: בחוזה, בכל חשבונית בשלושת החודשים האחרונים של ההתחייבות, וכן במסרון 21 ימים לפני מועד הסיום. לשונו של הסעיף היא אפוא ברורה, וכוללת במפורש את המ</w:t>
      </w:r>
      <w:r w:rsidR="00DB4824">
        <w:rPr>
          <w:rFonts w:ascii="Century" w:hAnsi="Century" w:hint="cs"/>
          <w:rtl/>
        </w:rPr>
        <w:t>י</w:t>
      </w:r>
      <w:r w:rsidR="00AA280A">
        <w:rPr>
          <w:rFonts w:ascii="Century" w:hAnsi="Century" w:hint="cs"/>
          <w:rtl/>
        </w:rPr>
        <w:t>לה "</w:t>
      </w:r>
      <w:r w:rsidR="00AA280A" w:rsidRPr="00F00545">
        <w:rPr>
          <w:rFonts w:ascii="Century" w:hAnsi="Century" w:cs="Miriam" w:hint="eastAsia"/>
          <w:b/>
          <w:spacing w:val="0"/>
          <w:szCs w:val="24"/>
          <w:rtl/>
        </w:rPr>
        <w:t>גם</w:t>
      </w:r>
      <w:r w:rsidR="00AA280A">
        <w:rPr>
          <w:rFonts w:ascii="Century" w:hAnsi="Century" w:hint="cs"/>
          <w:rtl/>
        </w:rPr>
        <w:t>". זו מלמדת כי אמצעי היידוע המנויים בפסקאות (1)-(3) נדרשים (</w:t>
      </w:r>
      <w:r w:rsidR="00AA280A" w:rsidRPr="003E3F87">
        <w:rPr>
          <w:rFonts w:ascii="Century" w:hAnsi="Century" w:hint="cs"/>
          <w:rtl/>
        </w:rPr>
        <w:t>כולם</w:t>
      </w:r>
      <w:r w:rsidR="00AA280A">
        <w:rPr>
          <w:rFonts w:ascii="Century" w:hAnsi="Century" w:hint="cs"/>
          <w:rtl/>
        </w:rPr>
        <w:t xml:space="preserve">) </w:t>
      </w:r>
      <w:r w:rsidR="00AA280A" w:rsidRPr="00F00545">
        <w:rPr>
          <w:rFonts w:ascii="Century" w:hAnsi="Century" w:cs="Miriam" w:hint="eastAsia"/>
          <w:b/>
          <w:spacing w:val="0"/>
          <w:szCs w:val="24"/>
          <w:rtl/>
        </w:rPr>
        <w:t>בנוסף</w:t>
      </w:r>
      <w:r w:rsidR="00AA280A" w:rsidRPr="003E3F87">
        <w:rPr>
          <w:rFonts w:ascii="Century" w:hAnsi="Century" w:hint="cs"/>
          <w:rtl/>
        </w:rPr>
        <w:t xml:space="preserve"> </w:t>
      </w:r>
      <w:r w:rsidR="00AA280A">
        <w:rPr>
          <w:rFonts w:ascii="Century" w:hAnsi="Century" w:hint="cs"/>
          <w:rtl/>
        </w:rPr>
        <w:t xml:space="preserve">להודעה עצמאית ונבדלת הנזכרת בתחילת הסעיף ואינם בגדר תחליף לה. הדברים אף נלמדים מן העובדה כי חלקו הראשון של הסעיף מתייחס במפורש לעדכון </w:t>
      </w:r>
      <w:r w:rsidR="00AA280A" w:rsidRPr="00AC0CBB">
        <w:rPr>
          <w:rFonts w:ascii="Century" w:hAnsi="Century" w:cs="Miriam" w:hint="eastAsia"/>
          <w:b/>
          <w:spacing w:val="0"/>
          <w:szCs w:val="24"/>
          <w:rtl/>
        </w:rPr>
        <w:t>בתקופת</w:t>
      </w:r>
      <w:r w:rsidR="00AA280A" w:rsidRPr="00AC0CBB">
        <w:rPr>
          <w:rFonts w:ascii="Century" w:hAnsi="Century" w:cs="Miriam"/>
          <w:b/>
          <w:spacing w:val="0"/>
          <w:szCs w:val="24"/>
          <w:rtl/>
        </w:rPr>
        <w:t xml:space="preserve"> </w:t>
      </w:r>
      <w:r w:rsidR="00AA280A" w:rsidRPr="00AC0CBB">
        <w:rPr>
          <w:rFonts w:ascii="Century" w:hAnsi="Century" w:cs="Miriam" w:hint="eastAsia"/>
          <w:b/>
          <w:spacing w:val="0"/>
          <w:szCs w:val="24"/>
          <w:rtl/>
        </w:rPr>
        <w:t>ההודעה</w:t>
      </w:r>
      <w:r w:rsidR="00AA280A">
        <w:rPr>
          <w:rFonts w:ascii="Century" w:hAnsi="Century" w:cs="Miriam" w:hint="cs"/>
          <w:b/>
          <w:spacing w:val="0"/>
          <w:szCs w:val="24"/>
          <w:rtl/>
        </w:rPr>
        <w:t xml:space="preserve"> (</w:t>
      </w:r>
      <w:r w:rsidR="00AA280A">
        <w:rPr>
          <w:rFonts w:ascii="Century" w:hAnsi="Century" w:hint="cs"/>
          <w:rtl/>
        </w:rPr>
        <w:t>קרי התקופה שבין 60 ימים ל-30 ימים לפני סיום ההתקשרות), בעוד חלקו השני של הסעיף מתייחס לאמצעים אשר, למצער בחלקם, נדרשים בשלב מאוחר לתקופ</w:t>
      </w:r>
      <w:r w:rsidR="00DB4824">
        <w:rPr>
          <w:rFonts w:ascii="Century" w:hAnsi="Century" w:hint="cs"/>
          <w:rtl/>
        </w:rPr>
        <w:t>ת</w:t>
      </w:r>
      <w:r w:rsidR="00AA280A">
        <w:rPr>
          <w:rFonts w:ascii="Century" w:hAnsi="Century" w:hint="cs"/>
          <w:rtl/>
        </w:rPr>
        <w:t xml:space="preserve"> ההודעה (כך ביחס למשלוח המסרון 21 יום לפני סיום ההתקשרות). במלים אחרות, הסעיף, כפשוטו, מטיל על העוסק מספר חובות </w:t>
      </w:r>
      <w:r w:rsidR="00AA280A" w:rsidRPr="00F00545">
        <w:rPr>
          <w:rFonts w:ascii="Century" w:hAnsi="Century" w:cs="Miriam" w:hint="eastAsia"/>
          <w:b/>
          <w:spacing w:val="0"/>
          <w:szCs w:val="24"/>
          <w:rtl/>
        </w:rPr>
        <w:t>מצטברות</w:t>
      </w:r>
      <w:r w:rsidR="00AA280A" w:rsidRPr="003E3F87">
        <w:rPr>
          <w:rFonts w:ascii="Century" w:hAnsi="Century" w:hint="cs"/>
          <w:rtl/>
        </w:rPr>
        <w:t xml:space="preserve"> </w:t>
      </w:r>
      <w:r w:rsidR="00AA280A">
        <w:rPr>
          <w:rFonts w:ascii="Century" w:hAnsi="Century" w:hint="cs"/>
          <w:rtl/>
        </w:rPr>
        <w:t xml:space="preserve">באשר ליידוע הצרכן על סיומה הקרב של תקופת ההטבה, באופנים ובמועדים שונים כמפורט בו. דרישות אלו מחייבות את העוסק, בראש ובראשונה, להודיע לצרכן במהלך תקופת ההודעה על סיום העסקה במחיר המוזל </w:t>
      </w:r>
      <w:r w:rsidR="00AA280A">
        <w:rPr>
          <w:rFonts w:ascii="Century" w:hAnsi="Century"/>
          <w:rtl/>
        </w:rPr>
        <w:t>–</w:t>
      </w:r>
      <w:r w:rsidR="00AA280A">
        <w:rPr>
          <w:rFonts w:ascii="Century" w:hAnsi="Century" w:hint="cs"/>
          <w:rtl/>
        </w:rPr>
        <w:t xml:space="preserve"> בנפרד מכל הודעה אחרת. מכאן ניתן ללמוד כי יש ליידע את הצרכן </w:t>
      </w:r>
      <w:r w:rsidR="00AA280A">
        <w:rPr>
          <w:rFonts w:ascii="Century" w:hAnsi="Century"/>
          <w:rtl/>
        </w:rPr>
        <w:t>–</w:t>
      </w:r>
      <w:r w:rsidR="00AA280A">
        <w:rPr>
          <w:rFonts w:ascii="Century" w:hAnsi="Century" w:hint="cs"/>
          <w:rtl/>
        </w:rPr>
        <w:t xml:space="preserve"> בנוסף, ולא לחלופין </w:t>
      </w:r>
      <w:r w:rsidR="00AA280A">
        <w:rPr>
          <w:rFonts w:ascii="Century" w:hAnsi="Century"/>
          <w:rtl/>
        </w:rPr>
        <w:t>–</w:t>
      </w:r>
      <w:r w:rsidR="00AA280A">
        <w:rPr>
          <w:rFonts w:ascii="Century" w:hAnsi="Century" w:hint="cs"/>
          <w:rtl/>
        </w:rPr>
        <w:t xml:space="preserve"> גם בשאר הדרכים המנויות בפסקאות (1)-(3) של הסעיף.</w:t>
      </w:r>
      <w:r w:rsidR="00AA280A">
        <w:rPr>
          <w:rFonts w:hint="cs"/>
          <w:rtl/>
        </w:rPr>
        <w:t xml:space="preserve"> כל פרשנות אחרת אינה מתיישבת עם לשונו הבהירה והמפורשת של הסעיף.</w:t>
      </w:r>
    </w:p>
    <w:p w:rsidR="00AA280A" w:rsidRDefault="00AA280A" w:rsidP="00AA280A">
      <w:pPr>
        <w:pStyle w:val="Ruller41"/>
        <w:rPr>
          <w:rtl/>
        </w:rPr>
      </w:pPr>
    </w:p>
    <w:p w:rsidR="00AA280A" w:rsidRDefault="00722B5A" w:rsidP="00DB4824">
      <w:pPr>
        <w:pStyle w:val="Ruller41"/>
        <w:rPr>
          <w:rtl/>
        </w:rPr>
      </w:pPr>
      <w:r>
        <w:rPr>
          <w:rFonts w:hint="cs"/>
          <w:rtl/>
        </w:rPr>
        <w:t>33</w:t>
      </w:r>
      <w:r w:rsidR="00AA280A">
        <w:rPr>
          <w:rFonts w:hint="cs"/>
          <w:rtl/>
        </w:rPr>
        <w:t xml:space="preserve">. </w:t>
      </w:r>
      <w:r w:rsidR="00AA280A">
        <w:rPr>
          <w:rFonts w:hint="cs"/>
          <w:rtl/>
        </w:rPr>
        <w:tab/>
        <w:t xml:space="preserve">לאמיתו של דבר, מסקנה זו מתחייבת אף מתכליתו של סעיף 13א לחוק הגנת הצרכן. כאמור, סעיף זה נועד להגביר את מודעותם של הצרכנים לפרטי העסקאות שבהן התקשרו ולחייב עוסקים לפעול בשקיפות ביחס לתנאי ההתקשרות, תוך גילוי ויידוע מלאים לקראת שינוי שצפוי לחול במחיר (ראו: רע"א 8190/14 </w:t>
      </w:r>
      <w:r w:rsidR="00AA280A">
        <w:rPr>
          <w:rFonts w:ascii="Century" w:hAnsi="Century" w:cs="Miriam" w:hint="cs"/>
          <w:b/>
          <w:spacing w:val="0"/>
          <w:szCs w:val="24"/>
          <w:rtl/>
        </w:rPr>
        <w:t>רוזנברג נ' בזק בינלאומי בע"מ</w:t>
      </w:r>
      <w:r w:rsidR="00AA280A">
        <w:rPr>
          <w:rFonts w:ascii="Century" w:hAnsi="Century" w:hint="cs"/>
          <w:rtl/>
        </w:rPr>
        <w:t xml:space="preserve">, פסקה 38 (3.6.2015) (להלן: עניין </w:t>
      </w:r>
      <w:r w:rsidR="00AA280A" w:rsidRPr="00C377C0">
        <w:rPr>
          <w:rFonts w:ascii="Century" w:hAnsi="Century" w:cs="Miriam" w:hint="eastAsia"/>
          <w:b/>
          <w:spacing w:val="0"/>
          <w:szCs w:val="24"/>
          <w:rtl/>
        </w:rPr>
        <w:t>רוזנברג</w:t>
      </w:r>
      <w:r w:rsidR="00AA280A">
        <w:rPr>
          <w:rFonts w:ascii="Century" w:hAnsi="Century" w:hint="cs"/>
          <w:rtl/>
        </w:rPr>
        <w:t xml:space="preserve">); רע"א 3717/20 </w:t>
      </w:r>
      <w:r w:rsidR="00AA280A">
        <w:rPr>
          <w:rFonts w:ascii="Century" w:hAnsi="Century" w:cs="Miriam" w:hint="cs"/>
          <w:b/>
          <w:spacing w:val="0"/>
          <w:szCs w:val="24"/>
          <w:rtl/>
        </w:rPr>
        <w:t>רמי לוי שיווק השקמה תקשורת בע"מ נ' דור</w:t>
      </w:r>
      <w:r w:rsidR="00AA280A">
        <w:rPr>
          <w:rFonts w:ascii="Century" w:hAnsi="Century" w:hint="cs"/>
          <w:rtl/>
        </w:rPr>
        <w:t xml:space="preserve">, פסקה 15 (3.3.2021) (להלן: עניין </w:t>
      </w:r>
      <w:r w:rsidR="00AA280A" w:rsidRPr="00F00545">
        <w:rPr>
          <w:rFonts w:ascii="Century" w:hAnsi="Century" w:cs="Miriam" w:hint="eastAsia"/>
          <w:b/>
          <w:spacing w:val="0"/>
          <w:szCs w:val="24"/>
          <w:rtl/>
        </w:rPr>
        <w:t>רמי</w:t>
      </w:r>
      <w:r w:rsidR="00AA280A" w:rsidRPr="00F00545">
        <w:rPr>
          <w:rFonts w:ascii="Century" w:hAnsi="Century" w:cs="Miriam"/>
          <w:b/>
          <w:spacing w:val="0"/>
          <w:szCs w:val="24"/>
          <w:rtl/>
        </w:rPr>
        <w:t xml:space="preserve"> </w:t>
      </w:r>
      <w:r w:rsidR="00AA280A" w:rsidRPr="00F00545">
        <w:rPr>
          <w:rFonts w:ascii="Century" w:hAnsi="Century" w:cs="Miriam" w:hint="eastAsia"/>
          <w:b/>
          <w:spacing w:val="0"/>
          <w:szCs w:val="24"/>
          <w:rtl/>
        </w:rPr>
        <w:t>לוי</w:t>
      </w:r>
      <w:r w:rsidR="00AA280A">
        <w:rPr>
          <w:rFonts w:ascii="Century" w:hAnsi="Century" w:hint="cs"/>
          <w:rtl/>
        </w:rPr>
        <w:t>)</w:t>
      </w:r>
      <w:r w:rsidR="00DB4824">
        <w:rPr>
          <w:rFonts w:ascii="Century" w:hAnsi="Century" w:hint="cs"/>
          <w:rtl/>
        </w:rPr>
        <w:t xml:space="preserve">; רע"א 4159/21 </w:t>
      </w:r>
      <w:r w:rsidR="00DB4824" w:rsidRPr="00DB4824">
        <w:rPr>
          <w:rFonts w:ascii="Century" w:hAnsi="Century" w:cs="Miriam" w:hint="cs"/>
          <w:b/>
          <w:spacing w:val="0"/>
          <w:szCs w:val="24"/>
          <w:rtl/>
        </w:rPr>
        <w:t>חברת פרטנר תקשורת בע"מ נ' כרמי</w:t>
      </w:r>
      <w:r w:rsidR="00DB4824">
        <w:rPr>
          <w:rFonts w:ascii="Century" w:hAnsi="Century" w:hint="cs"/>
          <w:rtl/>
        </w:rPr>
        <w:t>, פסקה 3 (29.5.2023)</w:t>
      </w:r>
      <w:r w:rsidR="00AA280A">
        <w:rPr>
          <w:rFonts w:ascii="Century" w:hAnsi="Century" w:hint="cs"/>
          <w:rtl/>
        </w:rPr>
        <w:t>)</w:t>
      </w:r>
      <w:r w:rsidR="00AA280A">
        <w:rPr>
          <w:rFonts w:hint="cs"/>
          <w:rtl/>
        </w:rPr>
        <w:t>. בכך נועד הסעיף להביא לידי ביטוי את התכלית הכללית העומדת ביסוד דיני הגנת הצרכן, מתוך רצון "</w:t>
      </w:r>
      <w:r w:rsidR="00AA280A">
        <w:rPr>
          <w:rFonts w:ascii="FrankRuehl" w:hAnsi="FrankRuehl"/>
          <w:color w:val="000000"/>
          <w:sz w:val="28"/>
          <w:rtl/>
        </w:rPr>
        <w:t>לצמצם את פערי המידע המובְנִים בין הצרכן והעוסק, במידה שתאפשר לצרכן לקבל החלטה מושכלת ועניינית בדבר כדאיות העסקה הצרכנית המוצעת לו</w:t>
      </w:r>
      <w:r w:rsidR="00AA280A">
        <w:rPr>
          <w:rFonts w:hint="cs"/>
          <w:rtl/>
        </w:rPr>
        <w:t xml:space="preserve">" (ראו: עניין </w:t>
      </w:r>
      <w:r w:rsidR="00AA280A" w:rsidRPr="00015D3E">
        <w:rPr>
          <w:rFonts w:ascii="Century" w:hAnsi="Century" w:cs="Miriam" w:hint="eastAsia"/>
          <w:b/>
          <w:spacing w:val="0"/>
          <w:szCs w:val="24"/>
          <w:rtl/>
        </w:rPr>
        <w:t>רמי</w:t>
      </w:r>
      <w:r w:rsidR="00AA280A" w:rsidRPr="00015D3E">
        <w:rPr>
          <w:rFonts w:ascii="Century" w:hAnsi="Century" w:cs="Miriam"/>
          <w:b/>
          <w:spacing w:val="0"/>
          <w:szCs w:val="24"/>
          <w:rtl/>
        </w:rPr>
        <w:t xml:space="preserve"> </w:t>
      </w:r>
      <w:r w:rsidR="00AA280A" w:rsidRPr="00015D3E">
        <w:rPr>
          <w:rFonts w:ascii="Century" w:hAnsi="Century" w:cs="Miriam" w:hint="eastAsia"/>
          <w:b/>
          <w:spacing w:val="0"/>
          <w:szCs w:val="24"/>
          <w:rtl/>
        </w:rPr>
        <w:t>לוי</w:t>
      </w:r>
      <w:r w:rsidR="00AA280A">
        <w:rPr>
          <w:rFonts w:hint="cs"/>
          <w:rtl/>
        </w:rPr>
        <w:t xml:space="preserve">, בפסקה 3). </w:t>
      </w:r>
      <w:r w:rsidR="00AA280A">
        <w:rPr>
          <w:rFonts w:ascii="FrankRuehl" w:hAnsi="FrankRuehl"/>
          <w:color w:val="000000"/>
          <w:sz w:val="28"/>
        </w:rPr>
        <w:t> </w:t>
      </w:r>
      <w:r w:rsidR="00AA280A">
        <w:rPr>
          <w:rFonts w:hint="cs"/>
          <w:rtl/>
        </w:rPr>
        <w:t>כך, הסעיף עוסק בסוגי עסקאות מוגדרים, שבמסגרתם עלול הצרכן "להתפתות" להתקשר בחוזה אטרקטיבי מבלי להפנים את כלל משמעויותי</w:t>
      </w:r>
      <w:r w:rsidR="00AA280A">
        <w:rPr>
          <w:rFonts w:hint="eastAsia"/>
          <w:rtl/>
        </w:rPr>
        <w:t>ו</w:t>
      </w:r>
      <w:r w:rsidR="00AA280A">
        <w:rPr>
          <w:rFonts w:hint="cs"/>
          <w:rtl/>
        </w:rPr>
        <w:t xml:space="preserve"> הכספיות העתידיות. זאת, כפי שציינתי בעבר, על רקע "</w:t>
      </w:r>
      <w:r w:rsidR="00AA280A">
        <w:rPr>
          <w:rFonts w:ascii="FrankRuehl" w:hAnsi="FrankRuehl"/>
          <w:color w:val="000000"/>
          <w:sz w:val="28"/>
          <w:rtl/>
        </w:rPr>
        <w:t>התופעה של החתמת צרכנים על חוזה אטרקטיבי לתקופה קצובה, מבלי שהם מודעים במידה מספקת לאפשרות שהארכתו תיעשה במחיר גבוה יותר, לעתים גבוה בהר</w:t>
      </w:r>
      <w:r w:rsidR="00AA280A">
        <w:rPr>
          <w:rFonts w:ascii="FrankRuehl" w:hAnsi="FrankRuehl" w:hint="cs"/>
          <w:color w:val="000000"/>
          <w:sz w:val="28"/>
          <w:rtl/>
        </w:rPr>
        <w:t xml:space="preserve">בה" (עניין </w:t>
      </w:r>
      <w:r w:rsidR="00AA280A" w:rsidRPr="00C377C0">
        <w:rPr>
          <w:rFonts w:ascii="Century" w:hAnsi="Century" w:cs="Miriam" w:hint="eastAsia"/>
          <w:b/>
          <w:spacing w:val="0"/>
          <w:szCs w:val="24"/>
          <w:rtl/>
        </w:rPr>
        <w:t>רוזנברג</w:t>
      </w:r>
      <w:r w:rsidR="00AA280A">
        <w:rPr>
          <w:rFonts w:ascii="FrankRuehl" w:hAnsi="FrankRuehl" w:hint="cs"/>
          <w:color w:val="000000"/>
          <w:sz w:val="28"/>
          <w:rtl/>
        </w:rPr>
        <w:t>, בפסקה 8)</w:t>
      </w:r>
      <w:r w:rsidR="00AA280A">
        <w:rPr>
          <w:rFonts w:hint="cs"/>
          <w:rtl/>
        </w:rPr>
        <w:t xml:space="preserve">. על רקע החשש המתואר, סעיף 13א(ב) לחוק מעגן חובות יידוע מקיפות המוטלות על העוסק, אשר נדרש לעמוד בכל אחת ואחת מהן. בדרך זו מובטח יידוע אפקטיבי של הצרכן המבוסס על הפניית תשומת </w:t>
      </w:r>
      <w:r w:rsidR="00AA280A">
        <w:rPr>
          <w:rFonts w:hint="cs"/>
          <w:rtl/>
        </w:rPr>
        <w:lastRenderedPageBreak/>
        <w:t xml:space="preserve">לבו ל"אותיות הקטנות" של החוזה שהוא עלול לשכוח, וכך מושגת התכלית הצרכנית של החוק. </w:t>
      </w:r>
    </w:p>
    <w:p w:rsidR="00AA280A" w:rsidRDefault="00AA280A" w:rsidP="00AA280A">
      <w:pPr>
        <w:pStyle w:val="Ruller41"/>
        <w:rPr>
          <w:rtl/>
        </w:rPr>
      </w:pPr>
    </w:p>
    <w:p w:rsidR="00AA280A" w:rsidRDefault="00722B5A" w:rsidP="00AA280A">
      <w:pPr>
        <w:pStyle w:val="Ruller41"/>
        <w:rPr>
          <w:rtl/>
        </w:rPr>
      </w:pPr>
      <w:r>
        <w:rPr>
          <w:rFonts w:hint="cs"/>
          <w:rtl/>
        </w:rPr>
        <w:t>34</w:t>
      </w:r>
      <w:r w:rsidR="00AA280A">
        <w:rPr>
          <w:rFonts w:hint="cs"/>
          <w:rtl/>
        </w:rPr>
        <w:t xml:space="preserve">. </w:t>
      </w:r>
      <w:r w:rsidR="00AA280A">
        <w:rPr>
          <w:rFonts w:hint="cs"/>
          <w:rtl/>
        </w:rPr>
        <w:tab/>
        <w:t xml:space="preserve">חיזוק מסוים למסקנה האמורה ניתן לראות אף בהיסטוריה החקיקתית של סעיף 13א לחוק, שנחקק לראשונה במסגרת חוק הגנת הצרכן (תיקון מס' 22), התשס"ח-2008. בכלל זה, במעמד אישור התיקון לחוק בקריאה שנייה ושלישית במליאת הכנסת, אמר יו"ר ועדת הכלכלה של הכנסת (שהכינה את הצעת החוק) כך: </w:t>
      </w:r>
    </w:p>
    <w:p w:rsidR="00AA280A" w:rsidRDefault="00AA280A" w:rsidP="00AA280A">
      <w:pPr>
        <w:pStyle w:val="Ruller41"/>
        <w:rPr>
          <w:rtl/>
        </w:rPr>
      </w:pPr>
    </w:p>
    <w:p w:rsidR="00AA280A" w:rsidRDefault="00AA280A" w:rsidP="00AA280A">
      <w:pPr>
        <w:pStyle w:val="Ruller5"/>
        <w:rPr>
          <w:rtl/>
        </w:rPr>
      </w:pPr>
      <w:r>
        <w:rPr>
          <w:rFonts w:hint="cs"/>
          <w:rtl/>
        </w:rPr>
        <w:t>"</w:t>
      </w:r>
      <w:r>
        <w:rPr>
          <w:rFonts w:hint="eastAsia"/>
          <w:rtl/>
        </w:rPr>
        <w:t>כדי</w:t>
      </w:r>
      <w:r>
        <w:rPr>
          <w:rtl/>
        </w:rPr>
        <w:t xml:space="preserve"> </w:t>
      </w:r>
      <w:r>
        <w:rPr>
          <w:rFonts w:hint="eastAsia"/>
          <w:rtl/>
        </w:rPr>
        <w:t>להבטיח</w:t>
      </w:r>
      <w:r>
        <w:rPr>
          <w:rtl/>
        </w:rPr>
        <w:t xml:space="preserve"> </w:t>
      </w:r>
      <w:r>
        <w:rPr>
          <w:rFonts w:hint="eastAsia"/>
          <w:rtl/>
        </w:rPr>
        <w:t>את</w:t>
      </w:r>
      <w:r>
        <w:rPr>
          <w:rtl/>
        </w:rPr>
        <w:t xml:space="preserve"> </w:t>
      </w:r>
      <w:r>
        <w:rPr>
          <w:rFonts w:hint="eastAsia"/>
          <w:rtl/>
        </w:rPr>
        <w:t>מודעות</w:t>
      </w:r>
      <w:r>
        <w:rPr>
          <w:rtl/>
        </w:rPr>
        <w:t xml:space="preserve"> </w:t>
      </w:r>
      <w:r>
        <w:rPr>
          <w:rFonts w:hint="eastAsia"/>
          <w:rtl/>
        </w:rPr>
        <w:t>הצרכן</w:t>
      </w:r>
      <w:r>
        <w:rPr>
          <w:rtl/>
        </w:rPr>
        <w:t xml:space="preserve"> </w:t>
      </w:r>
      <w:r>
        <w:rPr>
          <w:rFonts w:hint="eastAsia"/>
          <w:rtl/>
        </w:rPr>
        <w:t>למועד</w:t>
      </w:r>
      <w:r>
        <w:rPr>
          <w:rtl/>
        </w:rPr>
        <w:t xml:space="preserve"> </w:t>
      </w:r>
      <w:r>
        <w:rPr>
          <w:rFonts w:hint="eastAsia"/>
          <w:rtl/>
        </w:rPr>
        <w:t>סיומה</w:t>
      </w:r>
      <w:r>
        <w:rPr>
          <w:rtl/>
        </w:rPr>
        <w:t xml:space="preserve"> </w:t>
      </w:r>
      <w:r>
        <w:rPr>
          <w:rFonts w:hint="eastAsia"/>
          <w:rtl/>
        </w:rPr>
        <w:t>של</w:t>
      </w:r>
      <w:r>
        <w:rPr>
          <w:rtl/>
        </w:rPr>
        <w:t xml:space="preserve"> </w:t>
      </w:r>
      <w:r>
        <w:rPr>
          <w:rFonts w:hint="eastAsia"/>
          <w:rtl/>
        </w:rPr>
        <w:t>עסקה</w:t>
      </w:r>
      <w:r>
        <w:rPr>
          <w:rtl/>
        </w:rPr>
        <w:t xml:space="preserve"> </w:t>
      </w:r>
      <w:r>
        <w:rPr>
          <w:rFonts w:hint="eastAsia"/>
          <w:rtl/>
        </w:rPr>
        <w:t>קצובה</w:t>
      </w:r>
      <w:r>
        <w:rPr>
          <w:rtl/>
        </w:rPr>
        <w:t xml:space="preserve">, </w:t>
      </w:r>
      <w:r>
        <w:rPr>
          <w:rFonts w:hint="eastAsia"/>
          <w:rtl/>
        </w:rPr>
        <w:t>מוטלת</w:t>
      </w:r>
      <w:r>
        <w:rPr>
          <w:rtl/>
        </w:rPr>
        <w:t xml:space="preserve"> </w:t>
      </w:r>
      <w:r>
        <w:rPr>
          <w:rFonts w:hint="eastAsia"/>
          <w:rtl/>
        </w:rPr>
        <w:t>על</w:t>
      </w:r>
      <w:r>
        <w:rPr>
          <w:rtl/>
        </w:rPr>
        <w:t xml:space="preserve"> </w:t>
      </w:r>
      <w:r>
        <w:rPr>
          <w:rFonts w:hint="eastAsia"/>
          <w:rtl/>
        </w:rPr>
        <w:t>העוסק</w:t>
      </w:r>
      <w:r>
        <w:rPr>
          <w:rtl/>
        </w:rPr>
        <w:t xml:space="preserve"> </w:t>
      </w:r>
      <w:r>
        <w:rPr>
          <w:rFonts w:hint="eastAsia"/>
          <w:rtl/>
        </w:rPr>
        <w:t>החובה</w:t>
      </w:r>
      <w:r>
        <w:rPr>
          <w:rtl/>
        </w:rPr>
        <w:t xml:space="preserve"> </w:t>
      </w:r>
      <w:r>
        <w:rPr>
          <w:rFonts w:hint="eastAsia"/>
          <w:rtl/>
        </w:rPr>
        <w:t>להודיע</w:t>
      </w:r>
      <w:r>
        <w:rPr>
          <w:rtl/>
        </w:rPr>
        <w:t xml:space="preserve"> </w:t>
      </w:r>
      <w:r>
        <w:rPr>
          <w:rFonts w:hint="eastAsia"/>
          <w:rtl/>
        </w:rPr>
        <w:t>לצרכן</w:t>
      </w:r>
      <w:r>
        <w:rPr>
          <w:rtl/>
        </w:rPr>
        <w:t xml:space="preserve"> </w:t>
      </w:r>
      <w:r>
        <w:rPr>
          <w:rFonts w:hint="eastAsia"/>
          <w:rtl/>
        </w:rPr>
        <w:t>על</w:t>
      </w:r>
      <w:r>
        <w:rPr>
          <w:rtl/>
        </w:rPr>
        <w:t xml:space="preserve"> </w:t>
      </w:r>
      <w:r>
        <w:rPr>
          <w:rFonts w:hint="eastAsia"/>
          <w:rtl/>
        </w:rPr>
        <w:t>מועד</w:t>
      </w:r>
      <w:r>
        <w:rPr>
          <w:rtl/>
        </w:rPr>
        <w:t xml:space="preserve"> </w:t>
      </w:r>
      <w:r>
        <w:rPr>
          <w:rFonts w:hint="eastAsia"/>
          <w:rtl/>
        </w:rPr>
        <w:t>הסיום</w:t>
      </w:r>
      <w:r>
        <w:rPr>
          <w:rFonts w:hint="cs"/>
          <w:rtl/>
        </w:rPr>
        <w:t>.</w:t>
      </w:r>
      <w:r>
        <w:rPr>
          <w:rtl/>
        </w:rPr>
        <w:t xml:space="preserve"> </w:t>
      </w:r>
      <w:r>
        <w:rPr>
          <w:noProof/>
          <w:rtl/>
        </w:rPr>
        <w:t xml:space="preserve">על </w:t>
      </w:r>
      <w:r w:rsidRPr="00553B1F">
        <w:rPr>
          <w:noProof/>
          <w:rtl/>
        </w:rPr>
        <w:t xml:space="preserve">העוסק להביא לידיעת הצרכן את מועד סיום </w:t>
      </w:r>
      <w:r>
        <w:rPr>
          <w:noProof/>
          <w:rtl/>
        </w:rPr>
        <w:t xml:space="preserve">העסקה הקצובה </w:t>
      </w:r>
      <w:r>
        <w:rPr>
          <w:rFonts w:hint="eastAsia"/>
          <w:rtl/>
        </w:rPr>
        <w:t>בחוזה</w:t>
      </w:r>
      <w:r>
        <w:rPr>
          <w:rtl/>
        </w:rPr>
        <w:t xml:space="preserve">, </w:t>
      </w:r>
      <w:r>
        <w:rPr>
          <w:rFonts w:hint="eastAsia"/>
          <w:rtl/>
        </w:rPr>
        <w:t>אם</w:t>
      </w:r>
      <w:r>
        <w:rPr>
          <w:rtl/>
        </w:rPr>
        <w:t xml:space="preserve"> </w:t>
      </w:r>
      <w:r>
        <w:rPr>
          <w:rFonts w:hint="eastAsia"/>
          <w:rtl/>
        </w:rPr>
        <w:t>קיים</w:t>
      </w:r>
      <w:r>
        <w:rPr>
          <w:rtl/>
        </w:rPr>
        <w:t xml:space="preserve"> </w:t>
      </w:r>
      <w:r>
        <w:rPr>
          <w:rFonts w:hint="eastAsia"/>
          <w:rtl/>
        </w:rPr>
        <w:t>חוזה</w:t>
      </w:r>
      <w:r>
        <w:rPr>
          <w:rtl/>
        </w:rPr>
        <w:t xml:space="preserve"> </w:t>
      </w:r>
      <w:r>
        <w:rPr>
          <w:rFonts w:hint="eastAsia"/>
          <w:rtl/>
        </w:rPr>
        <w:t>בכתב</w:t>
      </w:r>
      <w:r>
        <w:rPr>
          <w:rtl/>
        </w:rPr>
        <w:t xml:space="preserve">, </w:t>
      </w:r>
      <w:r>
        <w:rPr>
          <w:rFonts w:hint="eastAsia"/>
          <w:rtl/>
        </w:rPr>
        <w:t>והחל</w:t>
      </w:r>
      <w:r>
        <w:rPr>
          <w:rtl/>
        </w:rPr>
        <w:t xml:space="preserve"> </w:t>
      </w:r>
      <w:r>
        <w:rPr>
          <w:rFonts w:hint="eastAsia"/>
          <w:rtl/>
        </w:rPr>
        <w:t>משלושה</w:t>
      </w:r>
      <w:r>
        <w:rPr>
          <w:rtl/>
        </w:rPr>
        <w:t xml:space="preserve"> </w:t>
      </w:r>
      <w:r>
        <w:rPr>
          <w:rFonts w:hint="eastAsia"/>
          <w:rtl/>
        </w:rPr>
        <w:t>חודשים</w:t>
      </w:r>
      <w:r>
        <w:rPr>
          <w:rtl/>
        </w:rPr>
        <w:t xml:space="preserve"> </w:t>
      </w:r>
      <w:r>
        <w:rPr>
          <w:rFonts w:hint="eastAsia"/>
          <w:rtl/>
        </w:rPr>
        <w:t>לפני</w:t>
      </w:r>
      <w:r>
        <w:rPr>
          <w:rtl/>
        </w:rPr>
        <w:t xml:space="preserve"> </w:t>
      </w:r>
      <w:r>
        <w:rPr>
          <w:rFonts w:hint="eastAsia"/>
          <w:rtl/>
        </w:rPr>
        <w:t>מועד</w:t>
      </w:r>
      <w:r>
        <w:rPr>
          <w:rtl/>
        </w:rPr>
        <w:t xml:space="preserve"> </w:t>
      </w:r>
      <w:r>
        <w:rPr>
          <w:rFonts w:hint="eastAsia"/>
          <w:rtl/>
        </w:rPr>
        <w:t>סיום</w:t>
      </w:r>
      <w:r>
        <w:rPr>
          <w:rtl/>
        </w:rPr>
        <w:t xml:space="preserve"> </w:t>
      </w:r>
      <w:r>
        <w:rPr>
          <w:rFonts w:hint="eastAsia"/>
          <w:rtl/>
        </w:rPr>
        <w:t>העסקה</w:t>
      </w:r>
      <w:r>
        <w:rPr>
          <w:rtl/>
        </w:rPr>
        <w:t xml:space="preserve">, </w:t>
      </w:r>
      <w:r w:rsidRPr="00361C13">
        <w:rPr>
          <w:rFonts w:ascii="Century" w:hAnsi="Century" w:cs="Miriam" w:hint="eastAsia"/>
          <w:b/>
          <w:spacing w:val="0"/>
          <w:szCs w:val="24"/>
          <w:rtl/>
        </w:rPr>
        <w:t>גם</w:t>
      </w:r>
      <w:r w:rsidRPr="00361C13">
        <w:rPr>
          <w:rtl/>
        </w:rPr>
        <w:t xml:space="preserve"> </w:t>
      </w:r>
      <w:r>
        <w:rPr>
          <w:rFonts w:hint="eastAsia"/>
          <w:rtl/>
        </w:rPr>
        <w:t>בחשבונית</w:t>
      </w:r>
      <w:r>
        <w:rPr>
          <w:rFonts w:hint="cs"/>
          <w:rtl/>
        </w:rPr>
        <w:t>..</w:t>
      </w:r>
      <w:r>
        <w:rPr>
          <w:rtl/>
        </w:rPr>
        <w:t>.</w:t>
      </w:r>
      <w:r>
        <w:rPr>
          <w:rFonts w:ascii="Century" w:hAnsi="Century" w:cs="Miriam" w:hint="cs"/>
          <w:b/>
          <w:spacing w:val="0"/>
          <w:szCs w:val="24"/>
          <w:rtl/>
        </w:rPr>
        <w:t xml:space="preserve"> </w:t>
      </w:r>
      <w:r w:rsidRPr="00AC0CBB">
        <w:rPr>
          <w:rFonts w:ascii="Century" w:hAnsi="Century" w:cs="Miriam" w:hint="eastAsia"/>
          <w:b/>
          <w:spacing w:val="0"/>
          <w:szCs w:val="24"/>
          <w:rtl/>
        </w:rPr>
        <w:t>בנוסף</w:t>
      </w:r>
      <w:r w:rsidRPr="00AC0CBB">
        <w:rPr>
          <w:rFonts w:ascii="Century" w:hAnsi="Century" w:cs="Miriam"/>
          <w:b/>
          <w:spacing w:val="0"/>
          <w:szCs w:val="24"/>
          <w:rtl/>
        </w:rPr>
        <w:t xml:space="preserve">, </w:t>
      </w:r>
      <w:r w:rsidRPr="00AC0CBB">
        <w:rPr>
          <w:rFonts w:ascii="Century" w:hAnsi="Century" w:cs="Miriam" w:hint="eastAsia"/>
          <w:b/>
          <w:spacing w:val="0"/>
          <w:szCs w:val="24"/>
          <w:rtl/>
        </w:rPr>
        <w:t>הודעה</w:t>
      </w:r>
      <w:r w:rsidRPr="00873B4F">
        <w:rPr>
          <w:rtl/>
        </w:rPr>
        <w:t xml:space="preserve"> </w:t>
      </w:r>
      <w:r>
        <w:rPr>
          <w:rFonts w:hint="eastAsia"/>
          <w:rtl/>
        </w:rPr>
        <w:t>כזאת</w:t>
      </w:r>
      <w:r>
        <w:rPr>
          <w:rtl/>
        </w:rPr>
        <w:t xml:space="preserve"> </w:t>
      </w:r>
      <w:r>
        <w:rPr>
          <w:rFonts w:hint="eastAsia"/>
          <w:rtl/>
        </w:rPr>
        <w:t>צריכה</w:t>
      </w:r>
      <w:r>
        <w:rPr>
          <w:rtl/>
        </w:rPr>
        <w:t xml:space="preserve"> </w:t>
      </w:r>
      <w:r>
        <w:rPr>
          <w:rFonts w:hint="eastAsia"/>
          <w:rtl/>
        </w:rPr>
        <w:t>להימסר</w:t>
      </w:r>
      <w:r>
        <w:rPr>
          <w:rtl/>
        </w:rPr>
        <w:t xml:space="preserve"> </w:t>
      </w:r>
      <w:r>
        <w:rPr>
          <w:rFonts w:hint="eastAsia"/>
          <w:rtl/>
        </w:rPr>
        <w:t>לו</w:t>
      </w:r>
      <w:r>
        <w:rPr>
          <w:rtl/>
        </w:rPr>
        <w:t xml:space="preserve"> </w:t>
      </w:r>
      <w:r>
        <w:rPr>
          <w:rFonts w:hint="eastAsia"/>
          <w:rtl/>
        </w:rPr>
        <w:t>בתקופה</w:t>
      </w:r>
      <w:r>
        <w:rPr>
          <w:rtl/>
        </w:rPr>
        <w:t xml:space="preserve"> </w:t>
      </w:r>
      <w:r>
        <w:rPr>
          <w:rFonts w:hint="eastAsia"/>
          <w:rtl/>
        </w:rPr>
        <w:t>שחלה</w:t>
      </w:r>
      <w:r>
        <w:rPr>
          <w:rtl/>
        </w:rPr>
        <w:t xml:space="preserve"> </w:t>
      </w:r>
      <w:r>
        <w:rPr>
          <w:rFonts w:hint="eastAsia"/>
          <w:rtl/>
        </w:rPr>
        <w:t>בין</w:t>
      </w:r>
      <w:r>
        <w:rPr>
          <w:rtl/>
        </w:rPr>
        <w:t xml:space="preserve"> 60 </w:t>
      </w:r>
      <w:r>
        <w:rPr>
          <w:rFonts w:hint="eastAsia"/>
          <w:rtl/>
        </w:rPr>
        <w:t>הימים</w:t>
      </w:r>
      <w:r>
        <w:rPr>
          <w:rtl/>
        </w:rPr>
        <w:t xml:space="preserve"> </w:t>
      </w:r>
      <w:r>
        <w:rPr>
          <w:rFonts w:hint="eastAsia"/>
          <w:rtl/>
        </w:rPr>
        <w:t>לפני</w:t>
      </w:r>
      <w:r>
        <w:rPr>
          <w:rtl/>
        </w:rPr>
        <w:t xml:space="preserve"> </w:t>
      </w:r>
      <w:r>
        <w:rPr>
          <w:rFonts w:hint="eastAsia"/>
          <w:rtl/>
        </w:rPr>
        <w:t>מועד</w:t>
      </w:r>
      <w:r>
        <w:rPr>
          <w:rtl/>
        </w:rPr>
        <w:t xml:space="preserve"> </w:t>
      </w:r>
      <w:r>
        <w:rPr>
          <w:rFonts w:hint="eastAsia"/>
          <w:rtl/>
        </w:rPr>
        <w:t>סיומה</w:t>
      </w:r>
      <w:r>
        <w:rPr>
          <w:rtl/>
        </w:rPr>
        <w:t xml:space="preserve"> </w:t>
      </w:r>
      <w:r>
        <w:rPr>
          <w:rFonts w:hint="eastAsia"/>
          <w:rtl/>
        </w:rPr>
        <w:t>לבין</w:t>
      </w:r>
      <w:r>
        <w:rPr>
          <w:rtl/>
        </w:rPr>
        <w:t xml:space="preserve"> 30 </w:t>
      </w:r>
      <w:r>
        <w:rPr>
          <w:rFonts w:hint="eastAsia"/>
          <w:rtl/>
        </w:rPr>
        <w:t>הימים</w:t>
      </w:r>
      <w:r>
        <w:rPr>
          <w:rtl/>
        </w:rPr>
        <w:t xml:space="preserve"> </w:t>
      </w:r>
      <w:r>
        <w:rPr>
          <w:rFonts w:hint="eastAsia"/>
          <w:rtl/>
        </w:rPr>
        <w:t>לפני</w:t>
      </w:r>
      <w:r>
        <w:rPr>
          <w:rtl/>
        </w:rPr>
        <w:t xml:space="preserve"> </w:t>
      </w:r>
      <w:r>
        <w:rPr>
          <w:rFonts w:hint="eastAsia"/>
          <w:rtl/>
        </w:rPr>
        <w:t>אותו</w:t>
      </w:r>
      <w:r>
        <w:rPr>
          <w:rtl/>
        </w:rPr>
        <w:t xml:space="preserve"> </w:t>
      </w:r>
      <w:r>
        <w:rPr>
          <w:rFonts w:hint="eastAsia"/>
          <w:rtl/>
        </w:rPr>
        <w:t>מועד</w:t>
      </w:r>
      <w:r>
        <w:rPr>
          <w:rFonts w:hint="cs"/>
          <w:rtl/>
        </w:rPr>
        <w:t xml:space="preserve">" (פרוטוקול ישיבה 229 של הכנסת ה-17, 151 (2.4.2008). ההדגשות כאן ובהמשך הדברים הוספו </w:t>
      </w:r>
      <w:r>
        <w:rPr>
          <w:rtl/>
        </w:rPr>
        <w:t>–</w:t>
      </w:r>
      <w:r>
        <w:rPr>
          <w:rFonts w:hint="cs"/>
          <w:rtl/>
        </w:rPr>
        <w:t xml:space="preserve"> </w:t>
      </w:r>
      <w:r w:rsidRPr="00794725">
        <w:rPr>
          <w:rFonts w:ascii="Century" w:hAnsi="Century" w:cs="Miriam" w:hint="eastAsia"/>
          <w:b/>
          <w:spacing w:val="0"/>
          <w:szCs w:val="24"/>
          <w:rtl/>
        </w:rPr>
        <w:t>ד</w:t>
      </w:r>
      <w:r w:rsidRPr="00794725">
        <w:rPr>
          <w:rFonts w:ascii="Century" w:hAnsi="Century" w:cs="Miriam"/>
          <w:b/>
          <w:spacing w:val="0"/>
          <w:szCs w:val="24"/>
          <w:rtl/>
        </w:rPr>
        <w:t xml:space="preserve">' </w:t>
      </w:r>
      <w:r w:rsidRPr="00794725">
        <w:rPr>
          <w:rFonts w:ascii="Century" w:hAnsi="Century" w:cs="Miriam" w:hint="eastAsia"/>
          <w:b/>
          <w:spacing w:val="0"/>
          <w:szCs w:val="24"/>
          <w:rtl/>
        </w:rPr>
        <w:t>ב</w:t>
      </w:r>
      <w:r w:rsidRPr="00794725">
        <w:rPr>
          <w:rFonts w:ascii="Century" w:hAnsi="Century" w:cs="Miriam"/>
          <w:b/>
          <w:spacing w:val="0"/>
          <w:szCs w:val="24"/>
          <w:rtl/>
        </w:rPr>
        <w:t xml:space="preserve">' </w:t>
      </w:r>
      <w:r w:rsidRPr="00794725">
        <w:rPr>
          <w:rFonts w:ascii="Century" w:hAnsi="Century" w:cs="Miriam" w:hint="eastAsia"/>
          <w:b/>
          <w:spacing w:val="0"/>
          <w:szCs w:val="24"/>
          <w:rtl/>
        </w:rPr>
        <w:t>א</w:t>
      </w:r>
      <w:r w:rsidRPr="00794725">
        <w:rPr>
          <w:rFonts w:ascii="Century" w:hAnsi="Century" w:cs="Miriam"/>
          <w:b/>
          <w:spacing w:val="0"/>
          <w:szCs w:val="24"/>
          <w:rtl/>
        </w:rPr>
        <w:t>'</w:t>
      </w:r>
      <w:r>
        <w:rPr>
          <w:rFonts w:hint="cs"/>
          <w:rtl/>
        </w:rPr>
        <w:t>)</w:t>
      </w:r>
      <w:r>
        <w:rPr>
          <w:rtl/>
        </w:rPr>
        <w:t>.</w:t>
      </w:r>
    </w:p>
    <w:p w:rsidR="00AA280A" w:rsidRDefault="00AA280A" w:rsidP="00AA280A">
      <w:pPr>
        <w:pStyle w:val="Ruller41"/>
        <w:rPr>
          <w:rtl/>
        </w:rPr>
      </w:pPr>
    </w:p>
    <w:p w:rsidR="00AA280A" w:rsidRDefault="00722B5A" w:rsidP="00AA280A">
      <w:pPr>
        <w:pStyle w:val="Ruller41"/>
        <w:rPr>
          <w:rtl/>
        </w:rPr>
      </w:pPr>
      <w:r>
        <w:rPr>
          <w:rFonts w:hint="cs"/>
          <w:rtl/>
        </w:rPr>
        <w:t>35</w:t>
      </w:r>
      <w:r w:rsidR="00AA280A">
        <w:rPr>
          <w:rFonts w:hint="cs"/>
          <w:rtl/>
        </w:rPr>
        <w:t>.</w:t>
      </w:r>
      <w:r w:rsidR="00AA280A">
        <w:rPr>
          <w:rtl/>
        </w:rPr>
        <w:tab/>
      </w:r>
      <w:r w:rsidR="00AA280A">
        <w:rPr>
          <w:rFonts w:hint="cs"/>
          <w:rtl/>
        </w:rPr>
        <w:t>על כך יש להוסיף כי חובות היידוע האמורות נותרו על כנן חרף ניסיונות מצד חברות שונות במשק, אשר היו מעורבות בהליכי החקיקה, לבטלן ולהסתפק בהבהרת הדברים בהסכם ההתקשרות בלבד (ראו למשל: פרוטוקול ישיבה 249 של ועדת הכלכלה של הכנסת ה-17, 8-7 (14.5.2007); פרוטוקול ישיבה 550 של ועדת הכלכלה של הכנסת ה-17, 7-6 (31.3.2008)). בהתייחס לכך אמר יו"ר הוועדה באותה עת (חבר הכנסת גלעד ארדן) במפורש כי "</w:t>
      </w:r>
      <w:r w:rsidR="00AA280A" w:rsidRPr="00B13D2C">
        <w:rPr>
          <w:rFonts w:hint="eastAsia"/>
          <w:rtl/>
        </w:rPr>
        <w:t>מטרת</w:t>
      </w:r>
      <w:r w:rsidR="00AA280A" w:rsidRPr="00B13D2C">
        <w:rPr>
          <w:rtl/>
        </w:rPr>
        <w:t xml:space="preserve"> </w:t>
      </w:r>
      <w:r w:rsidR="00AA280A" w:rsidRPr="00B13D2C">
        <w:rPr>
          <w:rFonts w:hint="eastAsia"/>
          <w:rtl/>
        </w:rPr>
        <w:t>החוק</w:t>
      </w:r>
      <w:r w:rsidR="00AA280A" w:rsidRPr="00B13D2C">
        <w:rPr>
          <w:rtl/>
        </w:rPr>
        <w:t xml:space="preserve"> </w:t>
      </w:r>
      <w:r w:rsidR="00AA280A" w:rsidRPr="00B13D2C">
        <w:rPr>
          <w:rFonts w:hint="eastAsia"/>
          <w:rtl/>
        </w:rPr>
        <w:t>היא</w:t>
      </w:r>
      <w:r w:rsidR="00AA280A" w:rsidRPr="00B13D2C">
        <w:rPr>
          <w:rtl/>
        </w:rPr>
        <w:t xml:space="preserve"> </w:t>
      </w:r>
      <w:r w:rsidR="00AA280A" w:rsidRPr="00B13D2C">
        <w:rPr>
          <w:rFonts w:hint="eastAsia"/>
          <w:rtl/>
        </w:rPr>
        <w:t>לעודד</w:t>
      </w:r>
      <w:r w:rsidR="00AA280A" w:rsidRPr="00B13D2C">
        <w:rPr>
          <w:rtl/>
        </w:rPr>
        <w:t xml:space="preserve"> </w:t>
      </w:r>
      <w:r w:rsidR="00AA280A" w:rsidRPr="00B13D2C">
        <w:rPr>
          <w:rFonts w:hint="eastAsia"/>
          <w:rtl/>
        </w:rPr>
        <w:t>את</w:t>
      </w:r>
      <w:r w:rsidR="00AA280A" w:rsidRPr="00B13D2C">
        <w:rPr>
          <w:rtl/>
        </w:rPr>
        <w:t xml:space="preserve"> </w:t>
      </w:r>
      <w:r w:rsidR="00AA280A" w:rsidRPr="00B13D2C">
        <w:rPr>
          <w:rFonts w:hint="eastAsia"/>
          <w:rtl/>
        </w:rPr>
        <w:t>השקיפות</w:t>
      </w:r>
      <w:r w:rsidR="00AA280A" w:rsidRPr="00B13D2C">
        <w:rPr>
          <w:rtl/>
        </w:rPr>
        <w:t xml:space="preserve"> </w:t>
      </w:r>
      <w:r w:rsidR="00AA280A" w:rsidRPr="00B13D2C">
        <w:rPr>
          <w:rFonts w:hint="eastAsia"/>
          <w:rtl/>
        </w:rPr>
        <w:t>של</w:t>
      </w:r>
      <w:r w:rsidR="00AA280A" w:rsidRPr="00B13D2C">
        <w:rPr>
          <w:rtl/>
        </w:rPr>
        <w:t xml:space="preserve"> </w:t>
      </w:r>
      <w:r w:rsidR="00AA280A" w:rsidRPr="00B13D2C">
        <w:rPr>
          <w:rFonts w:hint="eastAsia"/>
          <w:rtl/>
        </w:rPr>
        <w:t>אותם</w:t>
      </w:r>
      <w:r w:rsidR="00AA280A" w:rsidRPr="00B13D2C">
        <w:rPr>
          <w:rtl/>
        </w:rPr>
        <w:t xml:space="preserve"> </w:t>
      </w:r>
      <w:r w:rsidR="00AA280A" w:rsidRPr="00B13D2C">
        <w:rPr>
          <w:rFonts w:hint="eastAsia"/>
          <w:rtl/>
        </w:rPr>
        <w:t>מבצעים</w:t>
      </w:r>
      <w:r w:rsidR="00AA280A" w:rsidRPr="00B13D2C">
        <w:rPr>
          <w:rtl/>
        </w:rPr>
        <w:t xml:space="preserve"> </w:t>
      </w:r>
      <w:r w:rsidR="00AA280A" w:rsidRPr="00B13D2C">
        <w:rPr>
          <w:rFonts w:hint="eastAsia"/>
          <w:rtl/>
        </w:rPr>
        <w:t>כדי</w:t>
      </w:r>
      <w:r w:rsidR="00AA280A" w:rsidRPr="00B13D2C">
        <w:rPr>
          <w:rtl/>
        </w:rPr>
        <w:t xml:space="preserve"> </w:t>
      </w:r>
      <w:r w:rsidR="00AA280A" w:rsidRPr="00B13D2C">
        <w:rPr>
          <w:rFonts w:hint="eastAsia"/>
          <w:rtl/>
        </w:rPr>
        <w:t>להגדיל</w:t>
      </w:r>
      <w:r w:rsidR="00AA280A" w:rsidRPr="00B13D2C">
        <w:rPr>
          <w:rtl/>
        </w:rPr>
        <w:t xml:space="preserve"> </w:t>
      </w:r>
      <w:r w:rsidR="00AA280A" w:rsidRPr="00B13D2C">
        <w:rPr>
          <w:rFonts w:hint="eastAsia"/>
          <w:rtl/>
        </w:rPr>
        <w:t>כמה</w:t>
      </w:r>
      <w:r w:rsidR="00AA280A" w:rsidRPr="00B13D2C">
        <w:rPr>
          <w:rtl/>
        </w:rPr>
        <w:t xml:space="preserve"> </w:t>
      </w:r>
      <w:r w:rsidR="00AA280A" w:rsidRPr="00B13D2C">
        <w:rPr>
          <w:rFonts w:hint="eastAsia"/>
          <w:rtl/>
        </w:rPr>
        <w:t>שיותר</w:t>
      </w:r>
      <w:r w:rsidR="00AA280A" w:rsidRPr="00B13D2C">
        <w:rPr>
          <w:rtl/>
        </w:rPr>
        <w:t xml:space="preserve"> </w:t>
      </w:r>
      <w:r w:rsidR="00AA280A" w:rsidRPr="00B13D2C">
        <w:rPr>
          <w:rFonts w:hint="eastAsia"/>
          <w:rtl/>
        </w:rPr>
        <w:t>את</w:t>
      </w:r>
      <w:r w:rsidR="00AA280A" w:rsidRPr="00B13D2C">
        <w:rPr>
          <w:rtl/>
        </w:rPr>
        <w:t xml:space="preserve"> </w:t>
      </w:r>
      <w:r w:rsidR="00AA280A" w:rsidRPr="00B13D2C">
        <w:rPr>
          <w:rFonts w:hint="eastAsia"/>
          <w:rtl/>
        </w:rPr>
        <w:t>מודעותו</w:t>
      </w:r>
      <w:r w:rsidR="00AA280A" w:rsidRPr="00B13D2C">
        <w:rPr>
          <w:rtl/>
        </w:rPr>
        <w:t xml:space="preserve"> </w:t>
      </w:r>
      <w:r w:rsidR="00AA280A" w:rsidRPr="00B13D2C">
        <w:rPr>
          <w:rFonts w:hint="eastAsia"/>
          <w:rtl/>
        </w:rPr>
        <w:t>של</w:t>
      </w:r>
      <w:r w:rsidR="00AA280A" w:rsidRPr="00B13D2C">
        <w:rPr>
          <w:rtl/>
        </w:rPr>
        <w:t xml:space="preserve"> </w:t>
      </w:r>
      <w:r w:rsidR="00AA280A" w:rsidRPr="00B13D2C">
        <w:rPr>
          <w:rFonts w:hint="eastAsia"/>
          <w:rtl/>
        </w:rPr>
        <w:t>הלקוח</w:t>
      </w:r>
      <w:r w:rsidR="00AA280A" w:rsidRPr="00B13D2C">
        <w:rPr>
          <w:rtl/>
        </w:rPr>
        <w:t xml:space="preserve"> </w:t>
      </w:r>
      <w:r w:rsidR="00AA280A" w:rsidRPr="00B13D2C">
        <w:rPr>
          <w:rFonts w:hint="eastAsia"/>
          <w:rtl/>
        </w:rPr>
        <w:t>לכך</w:t>
      </w:r>
      <w:r w:rsidR="00AA280A" w:rsidRPr="00B13D2C">
        <w:rPr>
          <w:rtl/>
        </w:rPr>
        <w:t xml:space="preserve"> </w:t>
      </w:r>
      <w:r w:rsidR="00AA280A" w:rsidRPr="00B13D2C">
        <w:rPr>
          <w:rFonts w:hint="eastAsia"/>
          <w:rtl/>
        </w:rPr>
        <w:t>שתקופת</w:t>
      </w:r>
      <w:r w:rsidR="00AA280A" w:rsidRPr="00B13D2C">
        <w:rPr>
          <w:rtl/>
        </w:rPr>
        <w:t xml:space="preserve"> </w:t>
      </w:r>
      <w:r w:rsidR="00AA280A" w:rsidRPr="00B13D2C">
        <w:rPr>
          <w:rFonts w:hint="eastAsia"/>
          <w:rtl/>
        </w:rPr>
        <w:t>ההטבה</w:t>
      </w:r>
      <w:r w:rsidR="00AA280A" w:rsidRPr="00B13D2C">
        <w:rPr>
          <w:rtl/>
        </w:rPr>
        <w:t xml:space="preserve"> </w:t>
      </w:r>
      <w:r w:rsidR="00AA280A" w:rsidRPr="00B13D2C">
        <w:rPr>
          <w:rFonts w:hint="eastAsia"/>
          <w:rtl/>
        </w:rPr>
        <w:t>מסתיימת</w:t>
      </w:r>
      <w:r w:rsidR="00AA280A" w:rsidRPr="00B13D2C">
        <w:rPr>
          <w:rtl/>
        </w:rPr>
        <w:t xml:space="preserve">, </w:t>
      </w:r>
      <w:r w:rsidR="00AA280A" w:rsidRPr="00B13D2C">
        <w:rPr>
          <w:rFonts w:hint="eastAsia"/>
          <w:rtl/>
        </w:rPr>
        <w:t>והוא</w:t>
      </w:r>
      <w:r w:rsidR="00AA280A" w:rsidRPr="00B13D2C">
        <w:rPr>
          <w:rtl/>
        </w:rPr>
        <w:t xml:space="preserve"> </w:t>
      </w:r>
      <w:r w:rsidR="00AA280A" w:rsidRPr="00B13D2C">
        <w:rPr>
          <w:rFonts w:hint="eastAsia"/>
          <w:rtl/>
        </w:rPr>
        <w:t>נדרש</w:t>
      </w:r>
      <w:r w:rsidR="00AA280A" w:rsidRPr="00B13D2C">
        <w:rPr>
          <w:rtl/>
        </w:rPr>
        <w:t xml:space="preserve"> </w:t>
      </w:r>
      <w:r w:rsidR="00AA280A" w:rsidRPr="00B13D2C">
        <w:rPr>
          <w:rFonts w:hint="eastAsia"/>
          <w:rtl/>
        </w:rPr>
        <w:t>לקבל</w:t>
      </w:r>
      <w:r w:rsidR="00AA280A" w:rsidRPr="00B13D2C">
        <w:rPr>
          <w:rtl/>
        </w:rPr>
        <w:t xml:space="preserve"> </w:t>
      </w:r>
      <w:r w:rsidR="00AA280A" w:rsidRPr="00B13D2C">
        <w:rPr>
          <w:rFonts w:hint="eastAsia"/>
          <w:rtl/>
        </w:rPr>
        <w:t>החלטה</w:t>
      </w:r>
      <w:r w:rsidR="00AA280A" w:rsidRPr="00B13D2C">
        <w:rPr>
          <w:rtl/>
        </w:rPr>
        <w:t xml:space="preserve"> </w:t>
      </w:r>
      <w:r w:rsidR="00AA280A" w:rsidRPr="00B13D2C">
        <w:rPr>
          <w:rFonts w:hint="eastAsia"/>
          <w:rtl/>
        </w:rPr>
        <w:t>מחדש</w:t>
      </w:r>
      <w:r w:rsidR="00AA280A">
        <w:rPr>
          <w:rFonts w:hint="cs"/>
          <w:rtl/>
        </w:rPr>
        <w:t>" (</w:t>
      </w:r>
      <w:r w:rsidR="00AA280A">
        <w:rPr>
          <w:rFonts w:ascii="Century" w:hAnsi="Century" w:cs="Miriam" w:hint="cs"/>
          <w:b/>
          <w:spacing w:val="0"/>
          <w:szCs w:val="24"/>
          <w:rtl/>
        </w:rPr>
        <w:t>שם</w:t>
      </w:r>
      <w:r w:rsidR="00AA280A">
        <w:rPr>
          <w:rFonts w:ascii="Century" w:hAnsi="Century" w:hint="cs"/>
          <w:rtl/>
        </w:rPr>
        <w:t xml:space="preserve">, בעמ' 7). </w:t>
      </w:r>
      <w:r w:rsidR="00AA280A">
        <w:rPr>
          <w:rFonts w:hint="cs"/>
          <w:rtl/>
        </w:rPr>
        <w:t xml:space="preserve">דברים ברורים אלה תומכים אם כן במסקנה הפרשנית שאליה הגעתי, ושבה למעשה אף החזיק בית המשפט המחוזי: סעיף 13א(ב) לחוק ביקש לקבוע דרישות יידוע מצטברות, וזאת מתוך ראיית טובתו של הצרכן. </w:t>
      </w:r>
    </w:p>
    <w:p w:rsidR="00AA280A" w:rsidRDefault="00AA280A" w:rsidP="00AA280A">
      <w:pPr>
        <w:pStyle w:val="Ruller41"/>
        <w:rPr>
          <w:rtl/>
        </w:rPr>
      </w:pPr>
    </w:p>
    <w:p w:rsidR="00AA280A" w:rsidRDefault="00722B5A" w:rsidP="00DB4824">
      <w:pPr>
        <w:pStyle w:val="Ruller41"/>
        <w:rPr>
          <w:rtl/>
        </w:rPr>
      </w:pPr>
      <w:r>
        <w:rPr>
          <w:rFonts w:hint="cs"/>
          <w:rtl/>
        </w:rPr>
        <w:t>36</w:t>
      </w:r>
      <w:r w:rsidR="00AA280A">
        <w:rPr>
          <w:rFonts w:hint="cs"/>
          <w:rtl/>
        </w:rPr>
        <w:t>.</w:t>
      </w:r>
      <w:r w:rsidR="00AA280A">
        <w:rPr>
          <w:rFonts w:hint="cs"/>
          <w:rtl/>
        </w:rPr>
        <w:tab/>
        <w:t>עוד יש לציין כי סעיף 13א(ב) לחוק תוקן בהמשך במסגרת חוק הגנת הצרכן (תיקון מס' 44), התשע"ו-2016. בתיקון זה נוספו הסיפא של פסקה (2) הקובעת שמועד סיום העסקה יצוין על גבי החשבונית בהבלטה מיוחדת, וכן חובת היידוע באמצעות מסרון בפסקה (3). בדברי ההסבר להצעת חוק הגנת הצרכן (תיקון מס' 44) (הודעה על סיום עסקה לתקופה קצובה), התשע"ו-2015, נכתב בעניין זה כך:</w:t>
      </w:r>
    </w:p>
    <w:p w:rsidR="00AA280A" w:rsidRDefault="00AA280A" w:rsidP="00AA280A">
      <w:pPr>
        <w:pStyle w:val="Ruller41"/>
        <w:rPr>
          <w:rtl/>
        </w:rPr>
      </w:pPr>
    </w:p>
    <w:p w:rsidR="00AA280A" w:rsidRDefault="00AA280A" w:rsidP="00AA280A">
      <w:pPr>
        <w:pStyle w:val="Ruller5"/>
        <w:rPr>
          <w:rtl/>
        </w:rPr>
      </w:pPr>
      <w:r>
        <w:rPr>
          <w:rFonts w:hint="cs"/>
          <w:rtl/>
        </w:rPr>
        <w:lastRenderedPageBreak/>
        <w:t>"סעיף 13א לחוק הגנת הצרכן... קובע כי בעסקה לתקופה קצובה...</w:t>
      </w:r>
      <w:r w:rsidRPr="006C75E3">
        <w:rPr>
          <w:rFonts w:hint="eastAsia"/>
          <w:rtl/>
        </w:rPr>
        <w:t xml:space="preserve"> העוסק</w:t>
      </w:r>
      <w:r w:rsidRPr="006C75E3">
        <w:rPr>
          <w:rtl/>
        </w:rPr>
        <w:t xml:space="preserve"> </w:t>
      </w:r>
      <w:r w:rsidRPr="006C75E3">
        <w:rPr>
          <w:rFonts w:hint="eastAsia"/>
          <w:rtl/>
        </w:rPr>
        <w:t>מחויב</w:t>
      </w:r>
      <w:r w:rsidRPr="006C75E3">
        <w:rPr>
          <w:rtl/>
        </w:rPr>
        <w:t xml:space="preserve"> </w:t>
      </w:r>
      <w:r w:rsidRPr="006C75E3">
        <w:rPr>
          <w:rFonts w:hint="eastAsia"/>
          <w:rtl/>
        </w:rPr>
        <w:t>להודיע</w:t>
      </w:r>
      <w:r w:rsidRPr="006C75E3">
        <w:rPr>
          <w:rtl/>
        </w:rPr>
        <w:t xml:space="preserve"> </w:t>
      </w:r>
      <w:r w:rsidRPr="006C75E3">
        <w:rPr>
          <w:rFonts w:hint="eastAsia"/>
          <w:rtl/>
        </w:rPr>
        <w:t>לצרכן</w:t>
      </w:r>
      <w:r w:rsidRPr="006C75E3">
        <w:rPr>
          <w:rtl/>
        </w:rPr>
        <w:t xml:space="preserve"> </w:t>
      </w:r>
      <w:r w:rsidRPr="006C75E3">
        <w:rPr>
          <w:rFonts w:hint="eastAsia"/>
          <w:rtl/>
        </w:rPr>
        <w:t>על</w:t>
      </w:r>
      <w:r w:rsidRPr="006C75E3">
        <w:rPr>
          <w:rtl/>
        </w:rPr>
        <w:t xml:space="preserve"> </w:t>
      </w:r>
      <w:r w:rsidRPr="006C75E3">
        <w:rPr>
          <w:rFonts w:hint="eastAsia"/>
          <w:rtl/>
        </w:rPr>
        <w:t>מועד</w:t>
      </w:r>
      <w:r w:rsidRPr="006C75E3">
        <w:rPr>
          <w:rtl/>
        </w:rPr>
        <w:t xml:space="preserve"> </w:t>
      </w:r>
      <w:r w:rsidRPr="006C75E3">
        <w:rPr>
          <w:rFonts w:hint="eastAsia"/>
          <w:rtl/>
        </w:rPr>
        <w:t>סיום</w:t>
      </w:r>
      <w:r w:rsidRPr="006C75E3">
        <w:rPr>
          <w:rtl/>
        </w:rPr>
        <w:t xml:space="preserve"> </w:t>
      </w:r>
      <w:r w:rsidRPr="006C75E3">
        <w:rPr>
          <w:rFonts w:hint="eastAsia"/>
          <w:rtl/>
        </w:rPr>
        <w:t>העסקה</w:t>
      </w:r>
      <w:r w:rsidRPr="006C75E3">
        <w:rPr>
          <w:rtl/>
        </w:rPr>
        <w:t xml:space="preserve"> </w:t>
      </w:r>
      <w:r w:rsidRPr="006C75E3">
        <w:rPr>
          <w:rFonts w:hint="eastAsia"/>
          <w:rtl/>
        </w:rPr>
        <w:t>בתקופה</w:t>
      </w:r>
      <w:r w:rsidRPr="006C75E3">
        <w:rPr>
          <w:rtl/>
        </w:rPr>
        <w:t xml:space="preserve"> </w:t>
      </w:r>
      <w:r w:rsidRPr="006C75E3">
        <w:rPr>
          <w:rFonts w:hint="eastAsia"/>
          <w:rtl/>
        </w:rPr>
        <w:t>שבין</w:t>
      </w:r>
      <w:r w:rsidRPr="006C75E3">
        <w:rPr>
          <w:rtl/>
        </w:rPr>
        <w:t xml:space="preserve"> 60 </w:t>
      </w:r>
      <w:r w:rsidRPr="006C75E3">
        <w:rPr>
          <w:rFonts w:hint="eastAsia"/>
          <w:rtl/>
        </w:rPr>
        <w:t>ימים</w:t>
      </w:r>
      <w:r w:rsidRPr="006C75E3">
        <w:rPr>
          <w:rtl/>
        </w:rPr>
        <w:t xml:space="preserve"> </w:t>
      </w:r>
      <w:r w:rsidRPr="006C75E3">
        <w:rPr>
          <w:rFonts w:hint="eastAsia"/>
          <w:rtl/>
        </w:rPr>
        <w:t>ל</w:t>
      </w:r>
      <w:r>
        <w:rPr>
          <w:rFonts w:hint="cs"/>
          <w:rtl/>
        </w:rPr>
        <w:t>-</w:t>
      </w:r>
      <w:r w:rsidRPr="006C75E3">
        <w:rPr>
          <w:rtl/>
        </w:rPr>
        <w:t xml:space="preserve">30 </w:t>
      </w:r>
      <w:r w:rsidRPr="006C75E3">
        <w:rPr>
          <w:rFonts w:hint="eastAsia"/>
          <w:rtl/>
        </w:rPr>
        <w:t>ימים</w:t>
      </w:r>
      <w:r w:rsidRPr="006C75E3">
        <w:rPr>
          <w:rtl/>
        </w:rPr>
        <w:t xml:space="preserve"> </w:t>
      </w:r>
      <w:r w:rsidRPr="006C75E3">
        <w:rPr>
          <w:rFonts w:hint="eastAsia"/>
          <w:rtl/>
        </w:rPr>
        <w:t>לפני</w:t>
      </w:r>
      <w:r w:rsidRPr="006C75E3">
        <w:rPr>
          <w:rtl/>
        </w:rPr>
        <w:t xml:space="preserve"> </w:t>
      </w:r>
      <w:r w:rsidRPr="006C75E3">
        <w:rPr>
          <w:rFonts w:hint="eastAsia"/>
          <w:rtl/>
        </w:rPr>
        <w:t>מועד</w:t>
      </w:r>
      <w:r w:rsidRPr="006C75E3">
        <w:rPr>
          <w:rtl/>
        </w:rPr>
        <w:t xml:space="preserve"> </w:t>
      </w:r>
      <w:r w:rsidRPr="006C75E3">
        <w:rPr>
          <w:rFonts w:hint="eastAsia"/>
          <w:rtl/>
        </w:rPr>
        <w:t>סיום</w:t>
      </w:r>
      <w:r w:rsidRPr="006C75E3">
        <w:rPr>
          <w:rtl/>
        </w:rPr>
        <w:t xml:space="preserve"> </w:t>
      </w:r>
      <w:r w:rsidRPr="006C75E3">
        <w:rPr>
          <w:rFonts w:hint="eastAsia"/>
          <w:rtl/>
        </w:rPr>
        <w:t>העסקה</w:t>
      </w:r>
      <w:r w:rsidRPr="006C75E3">
        <w:rPr>
          <w:rtl/>
        </w:rPr>
        <w:t xml:space="preserve">. </w:t>
      </w:r>
      <w:r w:rsidRPr="00DC7AF8">
        <w:rPr>
          <w:rFonts w:ascii="Century" w:hAnsi="Century" w:cs="Miriam" w:hint="eastAsia"/>
          <w:b/>
          <w:spacing w:val="0"/>
          <w:szCs w:val="24"/>
          <w:rtl/>
        </w:rPr>
        <w:t>נוסף</w:t>
      </w:r>
      <w:r w:rsidRPr="00DC7AF8">
        <w:rPr>
          <w:rFonts w:ascii="Century" w:hAnsi="Century" w:cs="Miriam"/>
          <w:b/>
          <w:spacing w:val="0"/>
          <w:szCs w:val="24"/>
          <w:rtl/>
        </w:rPr>
        <w:t xml:space="preserve"> </w:t>
      </w:r>
      <w:r w:rsidRPr="00DC7AF8">
        <w:rPr>
          <w:rFonts w:ascii="Century" w:hAnsi="Century" w:cs="Miriam" w:hint="eastAsia"/>
          <w:b/>
          <w:spacing w:val="0"/>
          <w:szCs w:val="24"/>
          <w:rtl/>
        </w:rPr>
        <w:t>על</w:t>
      </w:r>
      <w:r w:rsidRPr="00DC7AF8">
        <w:rPr>
          <w:rFonts w:ascii="Century" w:hAnsi="Century" w:cs="Miriam"/>
          <w:b/>
          <w:spacing w:val="0"/>
          <w:szCs w:val="24"/>
          <w:rtl/>
        </w:rPr>
        <w:t xml:space="preserve"> </w:t>
      </w:r>
      <w:r w:rsidRPr="00DC7AF8">
        <w:rPr>
          <w:rFonts w:ascii="Century" w:hAnsi="Century" w:cs="Miriam" w:hint="eastAsia"/>
          <w:b/>
          <w:spacing w:val="0"/>
          <w:szCs w:val="24"/>
          <w:rtl/>
        </w:rPr>
        <w:t>כך</w:t>
      </w:r>
      <w:r w:rsidRPr="006C75E3">
        <w:rPr>
          <w:rtl/>
        </w:rPr>
        <w:t xml:space="preserve">, </w:t>
      </w:r>
      <w:r w:rsidRPr="006C75E3">
        <w:rPr>
          <w:rFonts w:hint="eastAsia"/>
          <w:rtl/>
        </w:rPr>
        <w:t>העוסק</w:t>
      </w:r>
      <w:r w:rsidRPr="006C75E3">
        <w:rPr>
          <w:rtl/>
        </w:rPr>
        <w:t xml:space="preserve"> </w:t>
      </w:r>
      <w:r w:rsidRPr="006C75E3">
        <w:rPr>
          <w:rFonts w:hint="eastAsia"/>
          <w:rtl/>
        </w:rPr>
        <w:t>מחויב</w:t>
      </w:r>
      <w:r w:rsidRPr="006C75E3">
        <w:rPr>
          <w:rtl/>
        </w:rPr>
        <w:t xml:space="preserve"> </w:t>
      </w:r>
      <w:r w:rsidRPr="006C75E3">
        <w:rPr>
          <w:rFonts w:hint="eastAsia"/>
          <w:rtl/>
        </w:rPr>
        <w:t>לציין</w:t>
      </w:r>
      <w:r w:rsidRPr="006C75E3">
        <w:rPr>
          <w:rtl/>
        </w:rPr>
        <w:t xml:space="preserve"> </w:t>
      </w:r>
      <w:r w:rsidRPr="006C75E3">
        <w:rPr>
          <w:rFonts w:hint="eastAsia"/>
          <w:rtl/>
        </w:rPr>
        <w:t>את</w:t>
      </w:r>
      <w:r w:rsidRPr="006C75E3">
        <w:rPr>
          <w:rtl/>
        </w:rPr>
        <w:t xml:space="preserve"> </w:t>
      </w:r>
      <w:r w:rsidRPr="006C75E3">
        <w:rPr>
          <w:rFonts w:hint="eastAsia"/>
          <w:rtl/>
        </w:rPr>
        <w:t>מועד</w:t>
      </w:r>
      <w:r w:rsidRPr="006C75E3">
        <w:rPr>
          <w:rtl/>
        </w:rPr>
        <w:t xml:space="preserve"> </w:t>
      </w:r>
      <w:r w:rsidRPr="006C75E3">
        <w:rPr>
          <w:rFonts w:hint="eastAsia"/>
          <w:rtl/>
        </w:rPr>
        <w:t>סיום</w:t>
      </w:r>
      <w:r w:rsidRPr="006C75E3">
        <w:rPr>
          <w:rtl/>
        </w:rPr>
        <w:t xml:space="preserve"> </w:t>
      </w:r>
      <w:r w:rsidRPr="006C75E3">
        <w:rPr>
          <w:rFonts w:hint="eastAsia"/>
          <w:rtl/>
        </w:rPr>
        <w:t>העסקה</w:t>
      </w:r>
      <w:r w:rsidRPr="006C75E3">
        <w:rPr>
          <w:rtl/>
        </w:rPr>
        <w:t xml:space="preserve"> </w:t>
      </w:r>
      <w:r w:rsidRPr="006C75E3">
        <w:rPr>
          <w:rFonts w:hint="eastAsia"/>
          <w:rtl/>
        </w:rPr>
        <w:t>בחוזה</w:t>
      </w:r>
      <w:r w:rsidRPr="006C75E3">
        <w:rPr>
          <w:rtl/>
        </w:rPr>
        <w:t xml:space="preserve"> </w:t>
      </w:r>
      <w:r w:rsidRPr="006C75E3">
        <w:rPr>
          <w:rFonts w:hint="eastAsia"/>
          <w:rtl/>
        </w:rPr>
        <w:t>עם</w:t>
      </w:r>
      <w:r w:rsidRPr="006C75E3">
        <w:rPr>
          <w:rtl/>
        </w:rPr>
        <w:t xml:space="preserve"> </w:t>
      </w:r>
      <w:r w:rsidRPr="006C75E3">
        <w:rPr>
          <w:rFonts w:hint="eastAsia"/>
          <w:rtl/>
        </w:rPr>
        <w:t>הצרכן</w:t>
      </w:r>
      <w:r>
        <w:rPr>
          <w:rFonts w:hint="cs"/>
          <w:rtl/>
        </w:rPr>
        <w:t xml:space="preserve">... </w:t>
      </w:r>
      <w:r w:rsidRPr="00DC7AF8">
        <w:rPr>
          <w:rFonts w:ascii="Century" w:hAnsi="Century" w:cs="Miriam" w:hint="eastAsia"/>
          <w:b/>
          <w:spacing w:val="0"/>
          <w:szCs w:val="24"/>
          <w:rtl/>
        </w:rPr>
        <w:t>וכן</w:t>
      </w:r>
      <w:r w:rsidRPr="00C368EB">
        <w:rPr>
          <w:rFonts w:hint="cs"/>
          <w:rtl/>
        </w:rPr>
        <w:t xml:space="preserve"> </w:t>
      </w:r>
      <w:r>
        <w:rPr>
          <w:rFonts w:hint="cs"/>
          <w:rtl/>
        </w:rPr>
        <w:t xml:space="preserve">בכל חשבונית... בתקופה שתחילתה שלושה חודשים לפני מועד סיום העסקה... </w:t>
      </w:r>
    </w:p>
    <w:p w:rsidR="00AA280A" w:rsidRDefault="00AA280A" w:rsidP="00AA280A">
      <w:pPr>
        <w:pStyle w:val="Ruller5"/>
        <w:rPr>
          <w:rtl/>
        </w:rPr>
      </w:pPr>
      <w:r w:rsidRPr="00F944BC">
        <w:rPr>
          <w:rFonts w:hint="cs"/>
          <w:rtl/>
        </w:rPr>
        <w:t xml:space="preserve">מוצע </w:t>
      </w:r>
      <w:r w:rsidRPr="00DC7AF8">
        <w:rPr>
          <w:rFonts w:ascii="Century" w:hAnsi="Century" w:cs="Miriam" w:hint="eastAsia"/>
          <w:b/>
          <w:spacing w:val="0"/>
          <w:szCs w:val="24"/>
          <w:rtl/>
        </w:rPr>
        <w:t>להרחיב</w:t>
      </w:r>
      <w:r w:rsidRPr="00F944BC">
        <w:rPr>
          <w:rFonts w:hint="cs"/>
          <w:rtl/>
        </w:rPr>
        <w:t xml:space="preserve"> את חובות העוסק להודיע לצרכן על מועד סיום העסקה</w:t>
      </w:r>
      <w:r>
        <w:rPr>
          <w:rFonts w:hint="cs"/>
          <w:rtl/>
        </w:rPr>
        <w:t xml:space="preserve">... </w:t>
      </w:r>
      <w:r w:rsidRPr="00DC7AF8">
        <w:rPr>
          <w:rFonts w:ascii="Century" w:hAnsi="Century" w:cs="Miriam" w:hint="eastAsia"/>
          <w:b/>
          <w:spacing w:val="0"/>
          <w:szCs w:val="24"/>
          <w:rtl/>
        </w:rPr>
        <w:t>נוסף</w:t>
      </w:r>
      <w:r w:rsidRPr="00DC7AF8">
        <w:rPr>
          <w:rFonts w:ascii="Century" w:hAnsi="Century" w:cs="Miriam"/>
          <w:b/>
          <w:spacing w:val="0"/>
          <w:szCs w:val="24"/>
          <w:rtl/>
        </w:rPr>
        <w:t xml:space="preserve"> על </w:t>
      </w:r>
      <w:r w:rsidRPr="00E25DE1">
        <w:rPr>
          <w:rFonts w:hint="cs"/>
          <w:rtl/>
        </w:rPr>
        <w:t xml:space="preserve">דרכי ההודעה הקבועות היום בחוק, מוצע לחייב את העוסק להודיע לצרכן על מועד </w:t>
      </w:r>
      <w:r>
        <w:rPr>
          <w:rFonts w:hint="cs"/>
          <w:rtl/>
        </w:rPr>
        <w:t>סיום העסקה, 21 ימים לפני אותו מועד, בהודעת מסרון".</w:t>
      </w:r>
    </w:p>
    <w:p w:rsidR="00AA280A" w:rsidRDefault="00AA280A" w:rsidP="00AA280A">
      <w:pPr>
        <w:pStyle w:val="Ruller41"/>
        <w:rPr>
          <w:rtl/>
        </w:rPr>
      </w:pPr>
    </w:p>
    <w:p w:rsidR="00AA280A" w:rsidRDefault="00722B5A" w:rsidP="00AA280A">
      <w:pPr>
        <w:pStyle w:val="Ruller41"/>
        <w:rPr>
          <w:rtl/>
        </w:rPr>
      </w:pPr>
      <w:r>
        <w:rPr>
          <w:rFonts w:hint="cs"/>
          <w:rtl/>
        </w:rPr>
        <w:t>37</w:t>
      </w:r>
      <w:r w:rsidR="00AA280A">
        <w:rPr>
          <w:rFonts w:hint="cs"/>
          <w:rtl/>
        </w:rPr>
        <w:t>.</w:t>
      </w:r>
      <w:r w:rsidR="00AA280A">
        <w:rPr>
          <w:rtl/>
        </w:rPr>
        <w:tab/>
      </w:r>
      <w:r w:rsidR="00AA280A">
        <w:rPr>
          <w:rFonts w:hint="cs"/>
          <w:rtl/>
        </w:rPr>
        <w:t xml:space="preserve">ברור אפוא שהנחת המוצא של המחוקק הייתה שדרכי היידוע המפורטות בסעיף-קטן (ב) הן דרישות </w:t>
      </w:r>
      <w:r w:rsidR="00AA280A" w:rsidRPr="00F00545">
        <w:rPr>
          <w:rFonts w:ascii="Century" w:hAnsi="Century" w:cs="Miriam" w:hint="eastAsia"/>
          <w:b/>
          <w:spacing w:val="0"/>
          <w:szCs w:val="24"/>
          <w:rtl/>
        </w:rPr>
        <w:t>מצטברות</w:t>
      </w:r>
      <w:r w:rsidR="00AA280A" w:rsidRPr="003E3F87">
        <w:rPr>
          <w:rFonts w:hint="cs"/>
          <w:rtl/>
        </w:rPr>
        <w:t xml:space="preserve"> </w:t>
      </w:r>
      <w:r w:rsidR="00AA280A">
        <w:rPr>
          <w:rFonts w:hint="cs"/>
          <w:rtl/>
        </w:rPr>
        <w:t>שהעוסק מחויב לקיים כל אחת ואחת מהן (ראו גם: פרוטוקול ישיבה 114 של ועדת הכלכלה של הכנסת ה-20, 7 (21.12.2015); פרוטוקול ישיבה 173 של הכנסת ה</w:t>
      </w:r>
      <w:r w:rsidR="00DB4824">
        <w:rPr>
          <w:rFonts w:hint="cs"/>
          <w:rtl/>
        </w:rPr>
        <w:t xml:space="preserve">-20, 3 (22.2.2016)). בנקודה זו </w:t>
      </w:r>
      <w:r w:rsidR="00AA280A">
        <w:rPr>
          <w:rFonts w:hint="cs"/>
          <w:rtl/>
        </w:rPr>
        <w:t xml:space="preserve">אוסיף, כי פסק הדין </w:t>
      </w:r>
      <w:proofErr w:type="spellStart"/>
      <w:r w:rsidR="00AA280A">
        <w:rPr>
          <w:rFonts w:hint="cs"/>
          <w:rtl/>
        </w:rPr>
        <w:t>ב</w:t>
      </w:r>
      <w:r w:rsidR="00AA280A" w:rsidRPr="00873B4F">
        <w:rPr>
          <w:rFonts w:hint="eastAsia"/>
          <w:rtl/>
        </w:rPr>
        <w:t>רע</w:t>
      </w:r>
      <w:r w:rsidR="00AA280A" w:rsidRPr="00873B4F">
        <w:rPr>
          <w:rtl/>
        </w:rPr>
        <w:t>"</w:t>
      </w:r>
      <w:r w:rsidR="00AA280A" w:rsidRPr="00873B4F">
        <w:rPr>
          <w:rFonts w:hint="eastAsia"/>
          <w:rtl/>
        </w:rPr>
        <w:t>א</w:t>
      </w:r>
      <w:proofErr w:type="spellEnd"/>
      <w:r w:rsidR="00AA280A" w:rsidRPr="00873B4F">
        <w:rPr>
          <w:rtl/>
        </w:rPr>
        <w:t xml:space="preserve"> 7810/13 </w:t>
      </w:r>
      <w:r w:rsidR="00AA280A" w:rsidRPr="00AC0CBB">
        <w:rPr>
          <w:rFonts w:ascii="Century" w:hAnsi="Century" w:cs="Miriam" w:hint="eastAsia"/>
          <w:b/>
          <w:spacing w:val="0"/>
          <w:szCs w:val="24"/>
          <w:rtl/>
        </w:rPr>
        <w:t>בזק</w:t>
      </w:r>
      <w:r w:rsidR="00AA280A" w:rsidRPr="00AC0CBB">
        <w:rPr>
          <w:rFonts w:ascii="Century" w:hAnsi="Century" w:cs="Miriam"/>
          <w:b/>
          <w:spacing w:val="0"/>
          <w:szCs w:val="24"/>
          <w:rtl/>
        </w:rPr>
        <w:t xml:space="preserve"> </w:t>
      </w:r>
      <w:r w:rsidR="00AA280A" w:rsidRPr="00AC0CBB">
        <w:rPr>
          <w:rFonts w:ascii="Century" w:hAnsi="Century" w:cs="Miriam" w:hint="eastAsia"/>
          <w:b/>
          <w:spacing w:val="0"/>
          <w:szCs w:val="24"/>
          <w:rtl/>
        </w:rPr>
        <w:t>החברה</w:t>
      </w:r>
      <w:r w:rsidR="00AA280A" w:rsidRPr="00AC0CBB">
        <w:rPr>
          <w:rFonts w:ascii="Century" w:hAnsi="Century" w:cs="Miriam"/>
          <w:b/>
          <w:spacing w:val="0"/>
          <w:szCs w:val="24"/>
          <w:rtl/>
        </w:rPr>
        <w:t xml:space="preserve"> </w:t>
      </w:r>
      <w:r w:rsidR="00AA280A" w:rsidRPr="00AC0CBB">
        <w:rPr>
          <w:rFonts w:ascii="Century" w:hAnsi="Century" w:cs="Miriam" w:hint="eastAsia"/>
          <w:b/>
          <w:spacing w:val="0"/>
          <w:szCs w:val="24"/>
          <w:rtl/>
        </w:rPr>
        <w:t>הישראלית</w:t>
      </w:r>
      <w:r w:rsidR="00AA280A" w:rsidRPr="00AC0CBB">
        <w:rPr>
          <w:rFonts w:ascii="Century" w:hAnsi="Century" w:cs="Miriam"/>
          <w:b/>
          <w:spacing w:val="0"/>
          <w:szCs w:val="24"/>
          <w:rtl/>
        </w:rPr>
        <w:t xml:space="preserve"> </w:t>
      </w:r>
      <w:r w:rsidR="00AA280A" w:rsidRPr="00AC0CBB">
        <w:rPr>
          <w:rFonts w:ascii="Century" w:hAnsi="Century" w:cs="Miriam" w:hint="eastAsia"/>
          <w:b/>
          <w:spacing w:val="0"/>
          <w:szCs w:val="24"/>
          <w:rtl/>
        </w:rPr>
        <w:t>לתקשורת</w:t>
      </w:r>
      <w:r w:rsidR="00AA280A" w:rsidRPr="00AC0CBB">
        <w:rPr>
          <w:rFonts w:ascii="Century" w:hAnsi="Century" w:cs="Miriam"/>
          <w:b/>
          <w:spacing w:val="0"/>
          <w:szCs w:val="24"/>
          <w:rtl/>
        </w:rPr>
        <w:t xml:space="preserve"> </w:t>
      </w:r>
      <w:r w:rsidR="00AA280A" w:rsidRPr="00AC0CBB">
        <w:rPr>
          <w:rFonts w:ascii="Century" w:hAnsi="Century" w:cs="Miriam" w:hint="eastAsia"/>
          <w:b/>
          <w:spacing w:val="0"/>
          <w:szCs w:val="24"/>
          <w:rtl/>
        </w:rPr>
        <w:t>בע</w:t>
      </w:r>
      <w:r w:rsidR="00AA280A" w:rsidRPr="00AC0CBB">
        <w:rPr>
          <w:rFonts w:ascii="Century" w:hAnsi="Century" w:cs="Miriam"/>
          <w:b/>
          <w:spacing w:val="0"/>
          <w:szCs w:val="24"/>
          <w:rtl/>
        </w:rPr>
        <w:t>"</w:t>
      </w:r>
      <w:r w:rsidR="00AA280A" w:rsidRPr="00AC0CBB">
        <w:rPr>
          <w:rFonts w:ascii="Century" w:hAnsi="Century" w:cs="Miriam" w:hint="eastAsia"/>
          <w:b/>
          <w:spacing w:val="0"/>
          <w:szCs w:val="24"/>
          <w:rtl/>
        </w:rPr>
        <w:t>מ</w:t>
      </w:r>
      <w:r w:rsidR="00AA280A" w:rsidRPr="00AC0CBB">
        <w:rPr>
          <w:rFonts w:ascii="Century" w:hAnsi="Century" w:cs="Miriam"/>
          <w:b/>
          <w:spacing w:val="0"/>
          <w:szCs w:val="24"/>
          <w:rtl/>
        </w:rPr>
        <w:t xml:space="preserve"> </w:t>
      </w:r>
      <w:r w:rsidR="00AA280A" w:rsidRPr="00AC0CBB">
        <w:rPr>
          <w:rFonts w:ascii="Century" w:hAnsi="Century" w:cs="Miriam" w:hint="eastAsia"/>
          <w:b/>
          <w:spacing w:val="0"/>
          <w:szCs w:val="24"/>
          <w:rtl/>
        </w:rPr>
        <w:t>נ</w:t>
      </w:r>
      <w:r w:rsidR="00AA280A" w:rsidRPr="00AC0CBB">
        <w:rPr>
          <w:rFonts w:ascii="Century" w:hAnsi="Century" w:cs="Miriam"/>
          <w:b/>
          <w:spacing w:val="0"/>
          <w:szCs w:val="24"/>
          <w:rtl/>
        </w:rPr>
        <w:t xml:space="preserve">' </w:t>
      </w:r>
      <w:r w:rsidR="00AA280A" w:rsidRPr="00AC0CBB">
        <w:rPr>
          <w:rFonts w:ascii="Century" w:hAnsi="Century" w:cs="Miriam" w:hint="eastAsia"/>
          <w:b/>
          <w:spacing w:val="0"/>
          <w:szCs w:val="24"/>
          <w:rtl/>
        </w:rPr>
        <w:t>בן</w:t>
      </w:r>
      <w:r w:rsidR="00AA280A" w:rsidRPr="00AC0CBB">
        <w:rPr>
          <w:rFonts w:ascii="Century" w:hAnsi="Century" w:cs="Miriam"/>
          <w:b/>
          <w:spacing w:val="0"/>
          <w:szCs w:val="24"/>
          <w:rtl/>
        </w:rPr>
        <w:t xml:space="preserve"> </w:t>
      </w:r>
      <w:r w:rsidR="00AA280A" w:rsidRPr="00AC0CBB">
        <w:rPr>
          <w:rFonts w:ascii="Century" w:hAnsi="Century" w:cs="Miriam" w:hint="eastAsia"/>
          <w:b/>
          <w:spacing w:val="0"/>
          <w:szCs w:val="24"/>
          <w:rtl/>
        </w:rPr>
        <w:t>דוד</w:t>
      </w:r>
      <w:r w:rsidR="00AA280A" w:rsidRPr="00873B4F">
        <w:rPr>
          <w:rtl/>
        </w:rPr>
        <w:t xml:space="preserve"> (1.9.</w:t>
      </w:r>
      <w:r w:rsidR="00AA280A">
        <w:rPr>
          <w:rFonts w:hint="cs"/>
          <w:rtl/>
        </w:rPr>
        <w:t>20</w:t>
      </w:r>
      <w:r w:rsidR="00AA280A" w:rsidRPr="00873B4F">
        <w:rPr>
          <w:rtl/>
        </w:rPr>
        <w:t>14)</w:t>
      </w:r>
      <w:r w:rsidR="00AA280A">
        <w:rPr>
          <w:rFonts w:hint="cs"/>
          <w:rtl/>
        </w:rPr>
        <w:t>, שאליו נדרשו הצדדים בטענותיהם באשר לחובת ההודעה, ניתן קודם לתיקון החוק האמור. זאת, מעבר לכך שחלק מנסיבותיו העובדתיות היו שונות מאלו שעמדו ביסוד המקרה שבפנינו ועל כן לא מצאתי להידרש אליו בהרחבה.</w:t>
      </w:r>
    </w:p>
    <w:p w:rsidR="00AA280A" w:rsidRDefault="00AA280A" w:rsidP="00AA280A">
      <w:pPr>
        <w:pStyle w:val="Ruller41"/>
        <w:rPr>
          <w:rtl/>
        </w:rPr>
      </w:pPr>
    </w:p>
    <w:p w:rsidR="00AA280A" w:rsidRDefault="00722B5A" w:rsidP="00AA280A">
      <w:pPr>
        <w:pStyle w:val="Ruller41"/>
        <w:rPr>
          <w:rtl/>
        </w:rPr>
      </w:pPr>
      <w:r>
        <w:rPr>
          <w:rFonts w:hint="cs"/>
          <w:rtl/>
        </w:rPr>
        <w:t>38</w:t>
      </w:r>
      <w:r w:rsidR="00AA280A">
        <w:rPr>
          <w:rFonts w:hint="cs"/>
          <w:rtl/>
        </w:rPr>
        <w:t xml:space="preserve">. </w:t>
      </w:r>
      <w:r w:rsidR="00AA280A">
        <w:rPr>
          <w:rtl/>
        </w:rPr>
        <w:tab/>
      </w:r>
      <w:r w:rsidR="00AA280A">
        <w:rPr>
          <w:rFonts w:hint="cs"/>
          <w:rtl/>
        </w:rPr>
        <w:t>ובחזרה לענייננו: אין מחלוקת בין הצדדים כי סלקום לא שלחה למערערים הודעה נפרדת, במובחן מהחשבונית, בדבר מועד סיום העסקה. בהתחשב בכך, על פני הדברים, אין מנוס מלקבוע כי היא הפרה לכאורה את חובות היידוע הקבועות בחוק. יחד עם זאת, כפי שניתן להיווכח, סעיף-קטן (ב) עצמו אינו כולל סנקציה בגין הפרה מסוג זה. כדי להבהיר מה ההשלכה הפוטנציאלית שיש לכך בנסיבות העניין, אנו נדרשים להמשיך ולבחון את הסוגיות הנוספות שבפנינו.</w:t>
      </w:r>
    </w:p>
    <w:p w:rsidR="00AA280A" w:rsidRDefault="00AA280A" w:rsidP="00AA280A">
      <w:pPr>
        <w:pStyle w:val="Ruller41"/>
        <w:rPr>
          <w:rtl/>
        </w:rPr>
      </w:pPr>
    </w:p>
    <w:p w:rsidR="00AA280A" w:rsidRPr="00515359" w:rsidRDefault="00AA280A" w:rsidP="00AA280A">
      <w:pPr>
        <w:pStyle w:val="Ruller41"/>
        <w:rPr>
          <w:rFonts w:ascii="Century" w:hAnsi="Century" w:cs="Miriam"/>
          <w:b/>
          <w:spacing w:val="0"/>
          <w:szCs w:val="24"/>
          <w:rtl/>
        </w:rPr>
      </w:pPr>
      <w:r w:rsidRPr="00515359">
        <w:rPr>
          <w:rFonts w:ascii="Century" w:hAnsi="Century" w:cs="Miriam" w:hint="cs"/>
          <w:b/>
          <w:spacing w:val="0"/>
          <w:szCs w:val="24"/>
          <w:rtl/>
        </w:rPr>
        <w:t xml:space="preserve">סוגיה שנייה: </w:t>
      </w:r>
      <w:r>
        <w:rPr>
          <w:rFonts w:ascii="Century" w:hAnsi="Century" w:cs="Miriam" w:hint="cs"/>
          <w:b/>
          <w:spacing w:val="0"/>
          <w:szCs w:val="24"/>
          <w:rtl/>
        </w:rPr>
        <w:t xml:space="preserve">פרשנות החריג לשלילת התוקף של </w:t>
      </w:r>
      <w:proofErr w:type="spellStart"/>
      <w:r>
        <w:rPr>
          <w:rFonts w:ascii="Century" w:hAnsi="Century" w:cs="Miriam" w:hint="cs"/>
          <w:b/>
          <w:spacing w:val="0"/>
          <w:szCs w:val="24"/>
          <w:rtl/>
        </w:rPr>
        <w:t>תניית</w:t>
      </w:r>
      <w:proofErr w:type="spellEnd"/>
      <w:r>
        <w:rPr>
          <w:rFonts w:ascii="Century" w:hAnsi="Century" w:cs="Miriam" w:hint="cs"/>
          <w:b/>
          <w:spacing w:val="0"/>
          <w:szCs w:val="24"/>
          <w:rtl/>
        </w:rPr>
        <w:t xml:space="preserve"> ההתייקרות</w:t>
      </w:r>
    </w:p>
    <w:p w:rsidR="00AA280A" w:rsidRDefault="00AA280A" w:rsidP="00AA280A">
      <w:pPr>
        <w:pStyle w:val="Ruller41"/>
        <w:rPr>
          <w:rtl/>
        </w:rPr>
      </w:pPr>
    </w:p>
    <w:p w:rsidR="00AA280A" w:rsidRDefault="00722B5A" w:rsidP="00AA280A">
      <w:pPr>
        <w:pStyle w:val="Ruller41"/>
        <w:rPr>
          <w:rtl/>
        </w:rPr>
      </w:pPr>
      <w:r>
        <w:rPr>
          <w:rFonts w:hint="cs"/>
          <w:rtl/>
        </w:rPr>
        <w:t>39</w:t>
      </w:r>
      <w:r w:rsidR="00AA280A">
        <w:rPr>
          <w:rFonts w:hint="cs"/>
          <w:rtl/>
        </w:rPr>
        <w:t>.</w:t>
      </w:r>
      <w:r w:rsidR="00AA280A">
        <w:rPr>
          <w:rFonts w:hint="cs"/>
          <w:rtl/>
        </w:rPr>
        <w:tab/>
        <w:t>כעת עלינו להפנות מבטנו להוראות החוק העוקבות לסעיף 13א(ב) שנדון עד כה. כזכור, סעיף 13</w:t>
      </w:r>
      <w:r w:rsidR="00953D6F">
        <w:rPr>
          <w:rFonts w:hint="cs"/>
          <w:rtl/>
        </w:rPr>
        <w:t>א</w:t>
      </w:r>
      <w:r w:rsidR="00AA280A">
        <w:rPr>
          <w:rFonts w:hint="cs"/>
          <w:rtl/>
        </w:rPr>
        <w:t xml:space="preserve">(ג)(1) לחוק קובע כי ככלל עסקה לתקופה קצובה לא תימשך לאחר מועד סיומה (ובענייננו מועד הסיום של תקופת ההטבה), אלא בהתקיים אחד משני החריגים שנקבעו בסעיף 13א(ד) לחוק: האחד </w:t>
      </w:r>
      <w:r w:rsidR="00AA280A">
        <w:rPr>
          <w:rtl/>
        </w:rPr>
        <w:t>–</w:t>
      </w:r>
      <w:r w:rsidR="00AA280A">
        <w:rPr>
          <w:rFonts w:hint="cs"/>
          <w:rtl/>
        </w:rPr>
        <w:t xml:space="preserve"> עניינו בשירותים ספציפיים המנויים בתוספת השלישית לחוק, שאינם נוגעים למקרה דנן; השני, והוא הרלוונטי בענייננו </w:t>
      </w:r>
      <w:r w:rsidR="00AA280A">
        <w:rPr>
          <w:rtl/>
        </w:rPr>
        <w:t>–</w:t>
      </w:r>
      <w:r w:rsidR="00AA280A">
        <w:rPr>
          <w:rFonts w:hint="cs"/>
          <w:rtl/>
        </w:rPr>
        <w:t xml:space="preserve"> מתנה את המשך ההתקשרות בחובות יידוע שונות, ובהן הדרישה לכך ש"</w:t>
      </w:r>
      <w:r w:rsidR="00AA280A" w:rsidRPr="00C377C0">
        <w:rPr>
          <w:rFonts w:ascii="Century" w:hAnsi="Century"/>
          <w:shd w:val="clear" w:color="auto" w:fill="FFFFFF"/>
          <w:rtl/>
        </w:rPr>
        <w:t>ניתנה לצרכן, בתקופת ההודעה</w:t>
      </w:r>
      <w:r w:rsidR="00AA280A" w:rsidRPr="00C377C0">
        <w:rPr>
          <w:rFonts w:ascii="Century" w:hAnsi="Century"/>
          <w:shd w:val="clear" w:color="auto" w:fill="FFFFFF"/>
        </w:rPr>
        <w:t>,</w:t>
      </w:r>
      <w:r w:rsidR="00AA280A">
        <w:rPr>
          <w:rFonts w:ascii="Century" w:hAnsi="Century" w:hint="cs"/>
          <w:rtl/>
        </w:rPr>
        <w:t xml:space="preserve"> </w:t>
      </w:r>
      <w:r w:rsidR="00AA280A" w:rsidRPr="00C377C0">
        <w:rPr>
          <w:rFonts w:ascii="Century" w:hAnsi="Century" w:cs="Miriam" w:hint="eastAsia"/>
          <w:b/>
          <w:spacing w:val="0"/>
          <w:szCs w:val="24"/>
          <w:rtl/>
        </w:rPr>
        <w:t>הודעה</w:t>
      </w:r>
      <w:r w:rsidR="00AA280A" w:rsidRPr="00C377C0">
        <w:rPr>
          <w:rFonts w:ascii="Century" w:hAnsi="Century" w:cs="Miriam"/>
          <w:b/>
          <w:spacing w:val="0"/>
          <w:szCs w:val="24"/>
          <w:rtl/>
        </w:rPr>
        <w:t xml:space="preserve"> </w:t>
      </w:r>
      <w:r w:rsidR="00AA280A" w:rsidRPr="00C377C0">
        <w:rPr>
          <w:rFonts w:ascii="Century" w:hAnsi="Century" w:cs="Miriam" w:hint="eastAsia"/>
          <w:b/>
          <w:spacing w:val="0"/>
          <w:szCs w:val="24"/>
          <w:rtl/>
        </w:rPr>
        <w:t>בהתאם</w:t>
      </w:r>
      <w:r w:rsidR="00AA280A" w:rsidRPr="00C377C0">
        <w:rPr>
          <w:rFonts w:ascii="Century" w:hAnsi="Century" w:cs="Miriam"/>
          <w:b/>
          <w:spacing w:val="0"/>
          <w:szCs w:val="24"/>
          <w:rtl/>
        </w:rPr>
        <w:t xml:space="preserve"> </w:t>
      </w:r>
      <w:r w:rsidR="00AA280A" w:rsidRPr="00C377C0">
        <w:rPr>
          <w:rFonts w:ascii="Century" w:hAnsi="Century" w:cs="Miriam" w:hint="eastAsia"/>
          <w:b/>
          <w:spacing w:val="0"/>
          <w:szCs w:val="24"/>
          <w:rtl/>
        </w:rPr>
        <w:t>להוראות</w:t>
      </w:r>
      <w:r w:rsidR="00AA280A" w:rsidRPr="00C377C0">
        <w:rPr>
          <w:rFonts w:ascii="Century" w:hAnsi="Century" w:cs="Miriam"/>
          <w:b/>
          <w:spacing w:val="0"/>
          <w:szCs w:val="24"/>
          <w:rtl/>
        </w:rPr>
        <w:t xml:space="preserve"> </w:t>
      </w:r>
      <w:r w:rsidR="00AA280A" w:rsidRPr="00C377C0">
        <w:rPr>
          <w:rFonts w:ascii="Century" w:hAnsi="Century" w:cs="Miriam" w:hint="eastAsia"/>
          <w:b/>
          <w:spacing w:val="0"/>
          <w:szCs w:val="24"/>
          <w:rtl/>
        </w:rPr>
        <w:t>סעיף</w:t>
      </w:r>
      <w:r w:rsidR="00AA280A" w:rsidRPr="00C377C0">
        <w:rPr>
          <w:rFonts w:ascii="Century" w:hAnsi="Century" w:cs="Miriam"/>
          <w:b/>
          <w:spacing w:val="0"/>
          <w:szCs w:val="24"/>
          <w:rtl/>
        </w:rPr>
        <w:t xml:space="preserve"> </w:t>
      </w:r>
      <w:r w:rsidR="00AA280A" w:rsidRPr="00C377C0">
        <w:rPr>
          <w:rFonts w:ascii="Century" w:hAnsi="Century" w:cs="Miriam" w:hint="eastAsia"/>
          <w:b/>
          <w:spacing w:val="0"/>
          <w:szCs w:val="24"/>
          <w:rtl/>
        </w:rPr>
        <w:t>קטן</w:t>
      </w:r>
      <w:r w:rsidR="00AA280A" w:rsidRPr="00C377C0">
        <w:rPr>
          <w:rFonts w:ascii="Century" w:hAnsi="Century" w:cs="Miriam"/>
          <w:b/>
          <w:spacing w:val="0"/>
          <w:szCs w:val="24"/>
          <w:rtl/>
        </w:rPr>
        <w:t xml:space="preserve"> (ב)</w:t>
      </w:r>
      <w:r w:rsidR="00AA280A">
        <w:rPr>
          <w:rFonts w:hint="cs"/>
          <w:rtl/>
        </w:rPr>
        <w:t xml:space="preserve">, </w:t>
      </w:r>
      <w:r w:rsidR="00AA280A" w:rsidRPr="00C377C0">
        <w:rPr>
          <w:rFonts w:ascii="Century" w:hAnsi="Century" w:hint="eastAsia"/>
          <w:rtl/>
        </w:rPr>
        <w:t>ו</w:t>
      </w:r>
      <w:r w:rsidR="00AA280A" w:rsidRPr="00C377C0">
        <w:rPr>
          <w:rFonts w:ascii="Century" w:hAnsi="Century"/>
          <w:shd w:val="clear" w:color="auto" w:fill="FFFFFF"/>
          <w:rtl/>
        </w:rPr>
        <w:t>בלבד שההודעה ניתנה בכתב ופורטו בה תנאי העסקה</w:t>
      </w:r>
      <w:r w:rsidR="00AA280A" w:rsidRPr="00C377C0">
        <w:rPr>
          <w:rFonts w:ascii="Century" w:hAnsi="Century"/>
          <w:rtl/>
        </w:rPr>
        <w:t>".</w:t>
      </w:r>
      <w:r w:rsidR="00AA280A" w:rsidRPr="001E38D5">
        <w:rPr>
          <w:rFonts w:hint="cs"/>
          <w:rtl/>
        </w:rPr>
        <w:t xml:space="preserve"> </w:t>
      </w:r>
      <w:r w:rsidR="00AA280A">
        <w:rPr>
          <w:rFonts w:hint="cs"/>
          <w:rtl/>
        </w:rPr>
        <w:t xml:space="preserve">מהו אפוא סטנדרט העמידה בחובות היידוע הנדרש מכוח </w:t>
      </w:r>
      <w:r w:rsidR="00AA280A">
        <w:rPr>
          <w:rFonts w:hint="cs"/>
          <w:rtl/>
        </w:rPr>
        <w:lastRenderedPageBreak/>
        <w:t xml:space="preserve">הסייג האמור המאפשר את המשך ההתקשרות במחיר הגבוה יותר? האם, כשיטת המערערים, לצורך תחולת החריג נדרש העוסק לשלוח דווקא את ההודעה הסטטוטורית הנפרדת, או שמא, כעמדת סלקום, ניתן להסתפק בחלק מאמצעי היידוע האחרים המוזכרים בסעיף 13א(ב)? </w:t>
      </w:r>
    </w:p>
    <w:p w:rsidR="00AA280A" w:rsidRDefault="00AA280A" w:rsidP="00AA280A">
      <w:pPr>
        <w:pStyle w:val="Ruller41"/>
        <w:rPr>
          <w:rtl/>
        </w:rPr>
      </w:pPr>
    </w:p>
    <w:p w:rsidR="00AA280A" w:rsidRDefault="00722B5A" w:rsidP="00AA280A">
      <w:pPr>
        <w:pStyle w:val="Ruller41"/>
        <w:rPr>
          <w:rtl/>
        </w:rPr>
      </w:pPr>
      <w:r>
        <w:rPr>
          <w:rFonts w:hint="cs"/>
          <w:rtl/>
        </w:rPr>
        <w:t>40</w:t>
      </w:r>
      <w:r w:rsidR="00AA280A">
        <w:rPr>
          <w:rFonts w:hint="cs"/>
          <w:rtl/>
        </w:rPr>
        <w:t xml:space="preserve">. </w:t>
      </w:r>
      <w:r w:rsidR="00AA280A">
        <w:rPr>
          <w:rFonts w:hint="cs"/>
          <w:rtl/>
        </w:rPr>
        <w:tab/>
        <w:t xml:space="preserve">כזכור, בית המשפט המחוזי סבר כי לצורך תחולת הסייג הנזכר די בכך שהעוסק יידע את הצרכן על מועד סיום העסקה בהתאם לאחת החלופות הנזכרות בחוק, גם אם לא בכולן. בהקשר זה, קבע בית המשפט המחוזי כי "ככל שניתנה הודעה באחד מאמצעי היידוע המפורטים... די יהיה בכך כדי </w:t>
      </w:r>
      <w:proofErr w:type="spellStart"/>
      <w:r w:rsidR="00AA280A">
        <w:rPr>
          <w:rFonts w:hint="cs"/>
          <w:rtl/>
        </w:rPr>
        <w:t>ליתן</w:t>
      </w:r>
      <w:proofErr w:type="spellEnd"/>
      <w:r w:rsidR="00AA280A">
        <w:rPr>
          <w:rFonts w:hint="cs"/>
          <w:rtl/>
        </w:rPr>
        <w:t xml:space="preserve"> תוקף להמשך ההתקשרות" (</w:t>
      </w:r>
      <w:r w:rsidR="00AA280A">
        <w:rPr>
          <w:rFonts w:ascii="Century" w:hAnsi="Century" w:cs="Miriam" w:hint="cs"/>
          <w:b/>
          <w:spacing w:val="0"/>
          <w:szCs w:val="24"/>
          <w:rtl/>
        </w:rPr>
        <w:t>שם</w:t>
      </w:r>
      <w:r w:rsidR="00AA280A">
        <w:rPr>
          <w:rFonts w:ascii="Century" w:hAnsi="Century" w:hint="cs"/>
          <w:rtl/>
        </w:rPr>
        <w:t xml:space="preserve">, בפסקה 28). בהקשר זה דעתי כאמור שונה. לשיטתי, לשונו הפשוטה של הסעיף מובילה למסקנה כי המילים מתן "הודעה בהתאם לסעיף קטן (ב)" מתייחסות קודם כול לדרישה למשלוח הודעה נפרדת ועצמאית בדבר מועד סיום העסקה. כפי שהוסבר לעיל, זוהי החובה המרכזית של עוסק לקראת מועד סיום העסקה. הודעה נפרדת זו צריכה, בהתאם להוראותיו המפורשות של סעיף 13א(ד)(2)(ב) לחוק, להינתן בכתב בתקופת ההודעה ולכלול פירוט של תנאי העסקה. החובות הנוספות, לפיהן נדרש העוסק לציין את מועד סיום העסקה </w:t>
      </w:r>
      <w:r w:rsidR="00AA280A" w:rsidRPr="00F00545">
        <w:rPr>
          <w:rFonts w:ascii="Century" w:hAnsi="Century" w:cs="Miriam" w:hint="eastAsia"/>
          <w:b/>
          <w:spacing w:val="0"/>
          <w:szCs w:val="24"/>
          <w:rtl/>
        </w:rPr>
        <w:t>גם</w:t>
      </w:r>
      <w:r w:rsidR="00AA280A" w:rsidRPr="00D91F6A">
        <w:rPr>
          <w:rFonts w:ascii="Century" w:hAnsi="Century" w:hint="cs"/>
          <w:rtl/>
        </w:rPr>
        <w:t xml:space="preserve"> </w:t>
      </w:r>
      <w:r w:rsidR="00AA280A">
        <w:rPr>
          <w:rFonts w:ascii="Century" w:hAnsi="Century" w:hint="cs"/>
          <w:rtl/>
        </w:rPr>
        <w:t>בשלוש החשבוניות האחרונות ובמסרון, אף שגם הן מתחייבות על-פי דין, אך נלוות לחובה ה</w:t>
      </w:r>
      <w:r w:rsidR="00B16A82">
        <w:rPr>
          <w:rFonts w:ascii="Century" w:hAnsi="Century" w:hint="cs"/>
          <w:rtl/>
        </w:rPr>
        <w:t xml:space="preserve">עיקרית האמורה ומשלימות אותה. על </w:t>
      </w:r>
      <w:r w:rsidR="00AA280A">
        <w:rPr>
          <w:rFonts w:ascii="Century" w:hAnsi="Century" w:hint="cs"/>
          <w:rtl/>
        </w:rPr>
        <w:t xml:space="preserve">כן, לצורך תחולת החריג המאפשר את המשך ההתקשרות במחיר הגבוה, לטעמי אין די בציון של מועד סיום העסקה על-גבי חשבונית חודשית הנשלחת, מטבע הדברים, גם במהלך תקופת ההודעה (לא כל שכן במסרון שנשלח במקרה דנן 21 ימים לפני </w:t>
      </w:r>
      <w:r w:rsidR="00AA280A">
        <w:rPr>
          <w:rFonts w:hint="cs"/>
          <w:rtl/>
        </w:rPr>
        <w:t>מועד הסיום, קרי, מחוץ לתקופת ההודעה). במילים אחרות, לא ניתן להסתפק ב"טפל" ללא ה"עיקר".</w:t>
      </w:r>
    </w:p>
    <w:p w:rsidR="00AA280A" w:rsidRDefault="00AA280A" w:rsidP="00AA280A">
      <w:pPr>
        <w:pStyle w:val="Ruller41"/>
        <w:rPr>
          <w:rtl/>
        </w:rPr>
      </w:pPr>
    </w:p>
    <w:p w:rsidR="00AA280A" w:rsidRDefault="00722B5A" w:rsidP="00AA280A">
      <w:pPr>
        <w:pStyle w:val="Ruller41"/>
        <w:rPr>
          <w:rtl/>
        </w:rPr>
      </w:pPr>
      <w:r>
        <w:rPr>
          <w:rFonts w:hint="cs"/>
          <w:rtl/>
        </w:rPr>
        <w:t>41</w:t>
      </w:r>
      <w:r w:rsidR="00AA280A">
        <w:rPr>
          <w:rFonts w:hint="cs"/>
          <w:rtl/>
        </w:rPr>
        <w:t>.</w:t>
      </w:r>
      <w:r w:rsidR="00AA280A">
        <w:rPr>
          <w:rFonts w:hint="cs"/>
          <w:rtl/>
        </w:rPr>
        <w:tab/>
        <w:t>לעמדתי זו יש בסיס מוצק בלשון החוק עצמו. כפי שכבר ציינתי, נוסחו של סעיף-קטן (ב) מורה: "</w:t>
      </w:r>
      <w:r w:rsidR="00AA280A">
        <w:rPr>
          <w:rFonts w:ascii="Century" w:hAnsi="Century" w:cs="Miriam" w:hint="cs"/>
          <w:b/>
          <w:spacing w:val="0"/>
          <w:szCs w:val="24"/>
          <w:rtl/>
        </w:rPr>
        <w:t>יודיע</w:t>
      </w:r>
      <w:r w:rsidR="00AA280A">
        <w:rPr>
          <w:rFonts w:ascii="Century" w:hAnsi="Century" w:hint="cs"/>
          <w:rtl/>
        </w:rPr>
        <w:t xml:space="preserve"> העוסק לצרכן, בתקופת ההודעה, על מועד סיום העסקה או ההתחייבות; המועד האמור </w:t>
      </w:r>
      <w:r w:rsidR="00AA280A">
        <w:rPr>
          <w:rFonts w:ascii="Century" w:hAnsi="Century" w:cs="Miriam" w:hint="cs"/>
          <w:b/>
          <w:spacing w:val="0"/>
          <w:szCs w:val="24"/>
          <w:rtl/>
        </w:rPr>
        <w:t>יצוין</w:t>
      </w:r>
      <w:r w:rsidR="00AA280A">
        <w:rPr>
          <w:rFonts w:ascii="Century" w:hAnsi="Century" w:hint="cs"/>
          <w:rtl/>
        </w:rPr>
        <w:t xml:space="preserve"> גם בכל אחד מאלה...". כלומר, הסעיף מבחין בין </w:t>
      </w:r>
      <w:r w:rsidR="00AA280A" w:rsidRPr="0086593F">
        <w:rPr>
          <w:rFonts w:ascii="Century" w:hAnsi="Century" w:cs="Miriam" w:hint="cs"/>
          <w:b/>
          <w:spacing w:val="0"/>
          <w:szCs w:val="24"/>
          <w:rtl/>
        </w:rPr>
        <w:t>הודעה</w:t>
      </w:r>
      <w:r w:rsidR="00AA280A" w:rsidRPr="0086593F">
        <w:rPr>
          <w:rFonts w:ascii="Century" w:hAnsi="Century" w:hint="cs"/>
          <w:rtl/>
        </w:rPr>
        <w:t xml:space="preserve"> </w:t>
      </w:r>
      <w:r w:rsidR="00AA280A">
        <w:rPr>
          <w:rFonts w:ascii="Century" w:hAnsi="Century" w:hint="cs"/>
          <w:rtl/>
        </w:rPr>
        <w:t xml:space="preserve">שיש לשלוח לצרכן בדבר מועד סיום ההטבה לבין </w:t>
      </w:r>
      <w:r w:rsidR="00AA280A">
        <w:rPr>
          <w:rFonts w:ascii="Century" w:hAnsi="Century" w:cs="Miriam" w:hint="cs"/>
          <w:b/>
          <w:spacing w:val="0"/>
          <w:szCs w:val="24"/>
          <w:rtl/>
        </w:rPr>
        <w:t>ציון</w:t>
      </w:r>
      <w:r w:rsidR="00AA280A">
        <w:rPr>
          <w:rFonts w:ascii="Century" w:hAnsi="Century" w:hint="cs"/>
          <w:rtl/>
        </w:rPr>
        <w:t xml:space="preserve"> המועד באמצעים נוספים. על רקע זה בדיוק, תחולת החריג הקבוע בסעיף-קטן (ד)(2)(ב) מותנית בכך ש"ניתנה לצרכן, בתקופת ההודעה, </w:t>
      </w:r>
      <w:r w:rsidR="00AA280A">
        <w:rPr>
          <w:rFonts w:ascii="Century" w:hAnsi="Century" w:cs="Miriam" w:hint="cs"/>
          <w:b/>
          <w:spacing w:val="0"/>
          <w:szCs w:val="24"/>
          <w:rtl/>
        </w:rPr>
        <w:t>הודעה</w:t>
      </w:r>
      <w:r w:rsidR="00AA280A">
        <w:rPr>
          <w:rFonts w:ascii="Century" w:hAnsi="Century" w:hint="cs"/>
          <w:rtl/>
        </w:rPr>
        <w:t xml:space="preserve"> בהתאם לסעיף קטן (ב)", כאשר ההתייחסות היא להודעה דווקא. </w:t>
      </w:r>
      <w:r w:rsidR="00AA280A">
        <w:rPr>
          <w:rFonts w:hint="cs"/>
          <w:rtl/>
        </w:rPr>
        <w:t>כמו כן, נוסחו של החריג מדגיש כי יש צורך בשליחתה "</w:t>
      </w:r>
      <w:r w:rsidR="00AA280A" w:rsidRPr="009C59F0">
        <w:rPr>
          <w:rFonts w:ascii="Century" w:hAnsi="Century" w:cs="Miriam" w:hint="cs"/>
          <w:b/>
          <w:spacing w:val="0"/>
          <w:szCs w:val="24"/>
          <w:rtl/>
        </w:rPr>
        <w:t>בתקופת ההודעה</w:t>
      </w:r>
      <w:r w:rsidR="00AA280A">
        <w:rPr>
          <w:rFonts w:hint="cs"/>
          <w:rtl/>
        </w:rPr>
        <w:t xml:space="preserve">", ואף זאת בהתאם לרישא של סעיף-קטן (ב), שעניינה כאמור בהודעה הנפרדת. מכך עולה כי התנאי לתחולת החריג דורש קודם כול מתן הודעה נפרדת. </w:t>
      </w:r>
    </w:p>
    <w:p w:rsidR="00AA280A" w:rsidRDefault="00AA280A" w:rsidP="00AA280A">
      <w:pPr>
        <w:pStyle w:val="Ruller41"/>
        <w:rPr>
          <w:rtl/>
        </w:rPr>
      </w:pPr>
    </w:p>
    <w:p w:rsidR="00AA280A" w:rsidRDefault="00722B5A" w:rsidP="00953D6F">
      <w:pPr>
        <w:pStyle w:val="Ruller41"/>
        <w:rPr>
          <w:rtl/>
        </w:rPr>
      </w:pPr>
      <w:r>
        <w:rPr>
          <w:rFonts w:hint="cs"/>
          <w:rtl/>
        </w:rPr>
        <w:t>42</w:t>
      </w:r>
      <w:r w:rsidR="00AA280A">
        <w:rPr>
          <w:rFonts w:hint="cs"/>
          <w:rtl/>
        </w:rPr>
        <w:t>.</w:t>
      </w:r>
      <w:r w:rsidR="00AA280A">
        <w:rPr>
          <w:rFonts w:hint="cs"/>
          <w:rtl/>
        </w:rPr>
        <w:tab/>
        <w:t xml:space="preserve">מסקנה זו אף עולה בקנה אחד עם התכלית הצרכנית של החוק, ובפרט עם החשיבות הרבה שהסדרי החוק מייחסים כאמור ליידוע אפקטיבי של הצרכן. אין חולק </w:t>
      </w:r>
      <w:r w:rsidR="00AA280A">
        <w:rPr>
          <w:rFonts w:hint="cs"/>
          <w:rtl/>
        </w:rPr>
        <w:lastRenderedPageBreak/>
        <w:t xml:space="preserve">כי הודעה ייעודית המוקדשת לעניין סיומה המתקרב של תקופת ההטבה, באופן נבדל, עצמאי וברור, היא האמצעי החשוב והמועיל לצורך יידוע מוצלח של הצרכן, אשר מפנה את תשומת לבו ומודעותו לעניין זה, ולו במיוחד </w:t>
      </w:r>
      <w:r w:rsidR="00AA280A">
        <w:rPr>
          <w:rtl/>
        </w:rPr>
        <w:t>–</w:t>
      </w:r>
      <w:r w:rsidR="00AA280A">
        <w:rPr>
          <w:rFonts w:hint="cs"/>
          <w:rtl/>
        </w:rPr>
        <w:t xml:space="preserve"> דהיינו להתקרבותה של "פרשת דרכים". לעומת זאת, ומבלי לגרוע מחשיבותן של דרכי היידוע הנוספות, דומה כי ציון המועד האמור בחשבונית עלול "להיבלע" במסמך שאינו נהיר בהכרח לכל אדם ובאופן טבעי כולל גם מידע נוסף. על רקע זה, אני סבורה כי יש לפרש את תנאי החריג כך שיחייבו </w:t>
      </w:r>
      <w:r w:rsidR="00AA280A" w:rsidRPr="00F00545">
        <w:rPr>
          <w:rFonts w:ascii="Century" w:hAnsi="Century" w:cs="Miriam" w:hint="eastAsia"/>
          <w:b/>
          <w:spacing w:val="0"/>
          <w:szCs w:val="24"/>
          <w:rtl/>
        </w:rPr>
        <w:t>לכל</w:t>
      </w:r>
      <w:r w:rsidR="00AA280A" w:rsidRPr="00F00545">
        <w:rPr>
          <w:rFonts w:ascii="Century" w:hAnsi="Century" w:cs="Miriam"/>
          <w:b/>
          <w:spacing w:val="0"/>
          <w:szCs w:val="24"/>
          <w:rtl/>
        </w:rPr>
        <w:t xml:space="preserve"> </w:t>
      </w:r>
      <w:r w:rsidR="00AA280A" w:rsidRPr="00F00545">
        <w:rPr>
          <w:rFonts w:ascii="Century" w:hAnsi="Century" w:cs="Miriam" w:hint="eastAsia"/>
          <w:b/>
          <w:spacing w:val="0"/>
          <w:szCs w:val="24"/>
          <w:rtl/>
        </w:rPr>
        <w:t>הפחות</w:t>
      </w:r>
      <w:r w:rsidR="00AA280A" w:rsidRPr="00D91F6A">
        <w:rPr>
          <w:rFonts w:hint="cs"/>
          <w:rtl/>
        </w:rPr>
        <w:t xml:space="preserve"> </w:t>
      </w:r>
      <w:r w:rsidR="00AA280A">
        <w:rPr>
          <w:rFonts w:hint="cs"/>
          <w:rtl/>
        </w:rPr>
        <w:t xml:space="preserve">משלוח של הודעה נפרדת בעניין זה. לצורך הכרעה בערעור שבפנינו די לי בכך, ואיני נזקקת לשאלה </w:t>
      </w:r>
      <w:r w:rsidR="00AA280A">
        <w:rPr>
          <w:rFonts w:ascii="Century" w:hAnsi="Century" w:hint="cs"/>
          <w:rtl/>
        </w:rPr>
        <w:t>האם לצורך תחולתו של החריג בסעיף 13א(ד)(2) ניתן להסתפק בהודעה סטטוטורית לבדה, ללא עמידה גם ביתר חובות היידוע באמצעות חשבוניות ומסרון.</w:t>
      </w:r>
      <w:r w:rsidR="00AA280A" w:rsidRPr="00751ADB">
        <w:rPr>
          <w:rFonts w:ascii="Century" w:hAnsi="Century" w:hint="cs"/>
          <w:rtl/>
        </w:rPr>
        <w:t xml:space="preserve"> </w:t>
      </w:r>
      <w:r w:rsidR="00AA280A">
        <w:rPr>
          <w:rFonts w:ascii="Century" w:hAnsi="Century" w:hint="cs"/>
          <w:rtl/>
        </w:rPr>
        <w:t>אכן, כפי שהובהר, חובת היידוע הראשונה במעלה של העוסק היא בשליחת הודעה נפרדת בתקופה שנקבעה לכך. הפרה של חובה זו שוללת מניה וביה את תחולת החריג המאפשר את המשך ההתקשרות. על רקע זה, בנסיבותיו של המקרה דנן, שבו כאמור</w:t>
      </w:r>
      <w:r w:rsidR="00953D6F">
        <w:rPr>
          <w:rFonts w:ascii="Century" w:hAnsi="Century" w:hint="cs"/>
          <w:rtl/>
        </w:rPr>
        <w:t xml:space="preserve"> נמצא ש</w:t>
      </w:r>
      <w:r w:rsidR="00AA280A" w:rsidRPr="00B34070">
        <w:rPr>
          <w:rFonts w:ascii="Century" w:hAnsi="Century" w:hint="cs"/>
          <w:rtl/>
        </w:rPr>
        <w:t xml:space="preserve">לא </w:t>
      </w:r>
      <w:r w:rsidR="00AA280A">
        <w:rPr>
          <w:rFonts w:ascii="Century" w:hAnsi="Century" w:hint="cs"/>
          <w:rtl/>
        </w:rPr>
        <w:t>נשלחה הודעה נפרדת, יש לכאורה יסוד סביר למסקנה שאין להכיר בתחולת החריג המאפשר את המשך ההתקשרות במחיר הגבוה.</w:t>
      </w:r>
      <w:r w:rsidR="00AA280A">
        <w:rPr>
          <w:rFonts w:hint="cs"/>
          <w:rtl/>
        </w:rPr>
        <w:t xml:space="preserve"> התוצאה המעשית היא שעל פניו עניינם של הצדדים בא בגדר הכלל הקבוע בסעיף 13א(ג)(1) לחוק, ואינו נכנס אל החריג לו.</w:t>
      </w:r>
      <w:r w:rsidR="00AA280A" w:rsidRPr="006953B3">
        <w:rPr>
          <w:rFonts w:ascii="FrankRuehl" w:hAnsi="FrankRuehl"/>
          <w:color w:val="000000"/>
          <w:sz w:val="28"/>
          <w:rtl/>
        </w:rPr>
        <w:t xml:space="preserve"> </w:t>
      </w:r>
      <w:r w:rsidR="00AA280A">
        <w:rPr>
          <w:rFonts w:ascii="FrankRuehl" w:hAnsi="FrankRuehl" w:hint="cs"/>
          <w:color w:val="000000"/>
          <w:sz w:val="28"/>
          <w:rtl/>
        </w:rPr>
        <w:t xml:space="preserve">במובן זה קיימת </w:t>
      </w:r>
      <w:r w:rsidR="00AA280A">
        <w:rPr>
          <w:rFonts w:ascii="FrankRuehl" w:hAnsi="FrankRuehl"/>
          <w:color w:val="000000"/>
          <w:sz w:val="28"/>
          <w:rtl/>
        </w:rPr>
        <w:t>תשתית לכאורית ראויה לקיומה של עילת תביעה ל</w:t>
      </w:r>
      <w:r w:rsidR="00AA280A">
        <w:rPr>
          <w:rFonts w:ascii="FrankRuehl" w:hAnsi="FrankRuehl" w:hint="cs"/>
          <w:color w:val="000000"/>
          <w:sz w:val="28"/>
          <w:rtl/>
        </w:rPr>
        <w:t xml:space="preserve">מערערים, ולקבוצה כולה, המבוססת על הפרה של חובת היידוע בסעיף 13א לחוק הגנת הצרכן. </w:t>
      </w:r>
    </w:p>
    <w:p w:rsidR="00AA280A" w:rsidRDefault="00AA280A" w:rsidP="00AA280A">
      <w:pPr>
        <w:pStyle w:val="Ruller41"/>
        <w:rPr>
          <w:rtl/>
        </w:rPr>
      </w:pPr>
    </w:p>
    <w:p w:rsidR="00AA280A" w:rsidRPr="00FB340D" w:rsidRDefault="00AA280A" w:rsidP="00AA280A">
      <w:pPr>
        <w:pStyle w:val="Ruller41"/>
        <w:rPr>
          <w:rFonts w:ascii="Century" w:hAnsi="Century" w:cs="Miriam"/>
          <w:b/>
          <w:spacing w:val="0"/>
          <w:szCs w:val="24"/>
          <w:rtl/>
        </w:rPr>
      </w:pPr>
      <w:r>
        <w:rPr>
          <w:rFonts w:ascii="Century" w:hAnsi="Century" w:cs="Miriam" w:hint="cs"/>
          <w:b/>
          <w:spacing w:val="0"/>
          <w:szCs w:val="24"/>
          <w:rtl/>
        </w:rPr>
        <w:t>סוגיה שלישית: הסעד בגין הפרתה של חובת היידוע</w:t>
      </w:r>
    </w:p>
    <w:p w:rsidR="00AA280A" w:rsidRDefault="00AA280A" w:rsidP="00AA280A">
      <w:pPr>
        <w:pStyle w:val="Ruller41"/>
        <w:rPr>
          <w:rtl/>
        </w:rPr>
      </w:pPr>
    </w:p>
    <w:p w:rsidR="00AA280A" w:rsidRDefault="00722B5A" w:rsidP="00AA280A">
      <w:pPr>
        <w:pStyle w:val="Ruller41"/>
        <w:rPr>
          <w:rtl/>
        </w:rPr>
      </w:pPr>
      <w:r>
        <w:rPr>
          <w:rFonts w:hint="cs"/>
          <w:rtl/>
        </w:rPr>
        <w:t>43</w:t>
      </w:r>
      <w:r w:rsidR="00AA280A">
        <w:rPr>
          <w:rFonts w:hint="cs"/>
          <w:rtl/>
        </w:rPr>
        <w:t xml:space="preserve">. </w:t>
      </w:r>
      <w:r w:rsidR="00AA280A">
        <w:rPr>
          <w:rtl/>
        </w:rPr>
        <w:tab/>
      </w:r>
      <w:r w:rsidR="00AA280A">
        <w:rPr>
          <w:rFonts w:hint="cs"/>
          <w:rtl/>
        </w:rPr>
        <w:t xml:space="preserve">בשלב זה, מתעוררת שאלת הסעד </w:t>
      </w:r>
      <w:r w:rsidR="00AA280A">
        <w:rPr>
          <w:rtl/>
        </w:rPr>
        <w:t>–</w:t>
      </w:r>
      <w:r w:rsidR="00AA280A">
        <w:rPr>
          <w:rFonts w:hint="cs"/>
          <w:rtl/>
        </w:rPr>
        <w:t xml:space="preserve"> על רקע המחלוקת בין הצדדים ביחס לתוצאותיה של הפרת חובת היידוע כאמור. כזכור, בית המשפט המחוזי קבע ביחס לעסקת הממירים כי סעיף 13א(ג) לחוק מבטל את תוקפה של ההתקשרות במחיר הגבוה, וכי מדובר בסעד חוזי שאינו מצריך הוכחת קשר סיבתי מצד הצרכן, דהיינו כי היה פועל להטיב את תנאי העסקה או לסיים את ההתקשרות. עוד קבע בית המשפט המחוזי כי ההכרעה בטענתה של סלקום לפיה סעד זה הוא בעל מאפיינים </w:t>
      </w:r>
      <w:proofErr w:type="spellStart"/>
      <w:r w:rsidR="00AA280A">
        <w:rPr>
          <w:rFonts w:hint="cs"/>
          <w:rtl/>
        </w:rPr>
        <w:t>עונשיים</w:t>
      </w:r>
      <w:proofErr w:type="spellEnd"/>
      <w:r w:rsidR="00AA280A">
        <w:rPr>
          <w:rFonts w:hint="cs"/>
          <w:rtl/>
        </w:rPr>
        <w:t xml:space="preserve"> ולכן אינו בר-תביעה בתובענה ייצוגית תידון בשלב התביעה עצמה, והוא הדין בטענתה כי נוצרה בין הצדדים הסכמה שבהתנהגות להארכת ההתקשרות במחיר הגבוה. כן נקבע כי קמה גם עילה נזיקית וכי עשויה לקום אף עילה מכוח דיני עשיית עושר ולא במשפט.</w:t>
      </w:r>
    </w:p>
    <w:p w:rsidR="00AA280A" w:rsidRDefault="00AA280A" w:rsidP="00AA280A">
      <w:pPr>
        <w:pStyle w:val="Ruller41"/>
        <w:rPr>
          <w:rtl/>
        </w:rPr>
      </w:pPr>
    </w:p>
    <w:p w:rsidR="00AA280A" w:rsidRDefault="00722B5A" w:rsidP="00AA280A">
      <w:pPr>
        <w:pStyle w:val="Ruller41"/>
        <w:rPr>
          <w:rtl/>
        </w:rPr>
      </w:pPr>
      <w:r>
        <w:rPr>
          <w:rFonts w:hint="cs"/>
          <w:rtl/>
        </w:rPr>
        <w:t>44</w:t>
      </w:r>
      <w:r w:rsidR="00AA280A">
        <w:rPr>
          <w:rFonts w:hint="cs"/>
          <w:rtl/>
        </w:rPr>
        <w:t>.</w:t>
      </w:r>
      <w:r w:rsidR="00AA280A">
        <w:rPr>
          <w:rFonts w:hint="cs"/>
          <w:rtl/>
        </w:rPr>
        <w:tab/>
        <w:t xml:space="preserve">כמו בית המשפט המחוזי אף אני סבורה כי בשלב דיוני זה אין מקום להכריע באשר להיקפו של הסעד הנתבע ואופן </w:t>
      </w:r>
      <w:proofErr w:type="spellStart"/>
      <w:r w:rsidR="00AA280A">
        <w:rPr>
          <w:rFonts w:hint="cs"/>
          <w:rtl/>
        </w:rPr>
        <w:t>כימותו</w:t>
      </w:r>
      <w:proofErr w:type="spellEnd"/>
      <w:r w:rsidR="00AA280A">
        <w:rPr>
          <w:rFonts w:hint="cs"/>
          <w:rtl/>
        </w:rPr>
        <w:t xml:space="preserve"> המדויק. די יהיה בכך שאציין, כי בהעדר תחולה לחריג הקבוע בחוק, משמעות הדברים, במישור החוזי, היא חזרה לכלל המעוגן </w:t>
      </w:r>
      <w:r w:rsidR="00AA280A">
        <w:rPr>
          <w:rFonts w:hint="cs"/>
          <w:rtl/>
        </w:rPr>
        <w:lastRenderedPageBreak/>
        <w:t xml:space="preserve">בסעיף 13א(ג)(1) לחוק, לפיו אין תוקף לתנאי בחוזה הקובע שבמועד מסוים תחול עליה במחיר, ויראו את החוזה כאילו נקבע שהוא בטל באותו מועד. סעיף זה קובע, בהתאם ללשונו, כי החוזה אמנם בא אל קצו במועד סיום העסקה וההתקשרות הפורמלית בין הצדדים לא נמשכה מעבר לכך. ברגיל, מצב זה פירושו סיום היחסים החוזיים בין הצדדים. אולם, בנסיבותיו של המקרה דנן, וניתן להניח שזהו מצב אופייני גם במקרים נוספים של עסקאות בלתי קצובות דומות במהותן, הלכה למעשה סלקום המשיכה לספק למערערים שירותי תקשורת ואף גבתה תמורתם תשלום (במחיר הגבוה). כפי שהוסבר, בהתאם להוראות החוק, פעולות אלה בוצעו שלא כדין, לאחר שהופרה חובת היידוע הקבועה בחוק. </w:t>
      </w:r>
    </w:p>
    <w:p w:rsidR="00AA280A" w:rsidRDefault="00AA280A" w:rsidP="00AA280A">
      <w:pPr>
        <w:pStyle w:val="Ruller41"/>
        <w:rPr>
          <w:rtl/>
        </w:rPr>
      </w:pPr>
    </w:p>
    <w:p w:rsidR="00AA280A" w:rsidRDefault="00722B5A" w:rsidP="0008718D">
      <w:pPr>
        <w:pStyle w:val="Ruller41"/>
        <w:rPr>
          <w:rtl/>
        </w:rPr>
      </w:pPr>
      <w:r>
        <w:rPr>
          <w:rFonts w:hint="cs"/>
          <w:rtl/>
        </w:rPr>
        <w:t>45</w:t>
      </w:r>
      <w:r w:rsidR="00AA280A">
        <w:rPr>
          <w:rFonts w:hint="cs"/>
          <w:rtl/>
        </w:rPr>
        <w:t>.</w:t>
      </w:r>
      <w:r w:rsidR="00AA280A">
        <w:rPr>
          <w:rFonts w:hint="cs"/>
          <w:rtl/>
        </w:rPr>
        <w:tab/>
        <w:t>ככלל, במצב דברים זה, שבו החוזה בטל מכוח הוראה בדין (ולכן אינו מסדיר את תשלום התמורה בגין טובות ההנאה שסופקו), דרך המלך המתחייבת מבחינה אופרטיבית היא השבה הדדית בין הצדדים, בעין או בשווי. חובה זו נגזרת מהעקרונות הכלל</w:t>
      </w:r>
      <w:r w:rsidR="00953D6F">
        <w:rPr>
          <w:rFonts w:hint="cs"/>
          <w:rtl/>
        </w:rPr>
        <w:t>י</w:t>
      </w:r>
      <w:r w:rsidR="00AA280A">
        <w:rPr>
          <w:rFonts w:hint="cs"/>
          <w:rtl/>
        </w:rPr>
        <w:t xml:space="preserve">ים של דיני עשיית עושר ולא במשפט, החלים מכל מקום (ומבלי לגרוע מכך שניתן היה להגיע לתוצאה דומה גם בגדרם של דיני החוזה הבלתי חוקי, לשיטת מי שסבורים כי המשך ההתקשרות נעשה על-יסוד הוראה חוזית הנוגדת את הדין. ראו גם: דניאל פרידמן ואלרן שפירא בר-אור </w:t>
      </w:r>
      <w:r w:rsidR="00AA280A">
        <w:rPr>
          <w:rFonts w:ascii="Century" w:hAnsi="Century" w:cs="Miriam" w:hint="cs"/>
          <w:b/>
          <w:spacing w:val="0"/>
          <w:szCs w:val="24"/>
          <w:rtl/>
        </w:rPr>
        <w:t>דיני עשיית עושר ולא במשפט</w:t>
      </w:r>
      <w:r w:rsidR="00AA280A">
        <w:rPr>
          <w:rFonts w:ascii="Century" w:hAnsi="Century" w:hint="cs"/>
          <w:rtl/>
        </w:rPr>
        <w:t xml:space="preserve"> כרך ב 749-747, 860-859 (מהדורה שלישית 2017) (להלן: </w:t>
      </w:r>
      <w:r w:rsidR="00AA280A" w:rsidRPr="00067FDA">
        <w:rPr>
          <w:rFonts w:ascii="Century" w:hAnsi="Century" w:cs="Miriam" w:hint="cs"/>
          <w:b/>
          <w:spacing w:val="0"/>
          <w:szCs w:val="24"/>
          <w:rtl/>
        </w:rPr>
        <w:t>פרידמן ובר-אור</w:t>
      </w:r>
      <w:r w:rsidR="00AA280A">
        <w:rPr>
          <w:rFonts w:ascii="Century" w:hAnsi="Century" w:hint="cs"/>
          <w:rtl/>
        </w:rPr>
        <w:t>);</w:t>
      </w:r>
      <w:r w:rsidR="00AA280A">
        <w:rPr>
          <w:rFonts w:hint="cs"/>
          <w:rtl/>
        </w:rPr>
        <w:t xml:space="preserve"> גבריאלה שלו ויהודה אדר </w:t>
      </w:r>
      <w:r w:rsidR="00AA280A">
        <w:rPr>
          <w:rFonts w:ascii="Century" w:hAnsi="Century" w:cs="Miriam" w:hint="cs"/>
          <w:b/>
          <w:spacing w:val="0"/>
          <w:szCs w:val="24"/>
          <w:rtl/>
        </w:rPr>
        <w:t xml:space="preserve">דיני חוזים </w:t>
      </w:r>
      <w:r w:rsidR="00AA280A">
        <w:rPr>
          <w:rFonts w:ascii="Century" w:hAnsi="Century" w:cs="Miriam"/>
          <w:b/>
          <w:spacing w:val="0"/>
          <w:szCs w:val="24"/>
          <w:rtl/>
        </w:rPr>
        <w:t>–</w:t>
      </w:r>
      <w:r w:rsidR="00AA280A">
        <w:rPr>
          <w:rFonts w:ascii="Century" w:hAnsi="Century" w:cs="Miriam" w:hint="cs"/>
          <w:b/>
          <w:spacing w:val="0"/>
          <w:szCs w:val="24"/>
          <w:rtl/>
        </w:rPr>
        <w:t xml:space="preserve"> התרופות</w:t>
      </w:r>
      <w:r w:rsidR="00AA280A">
        <w:rPr>
          <w:rFonts w:hint="cs"/>
          <w:rtl/>
        </w:rPr>
        <w:t xml:space="preserve"> 546-545 (2009). כן ראו והשוו: ע"א 4360/90 </w:t>
      </w:r>
      <w:r w:rsidR="00AA280A">
        <w:rPr>
          <w:rFonts w:ascii="Century" w:hAnsi="Century" w:cs="Miriam" w:hint="cs"/>
          <w:b/>
          <w:spacing w:val="0"/>
          <w:szCs w:val="24"/>
          <w:rtl/>
        </w:rPr>
        <w:t>בר חן נ' כוכבי</w:t>
      </w:r>
      <w:r w:rsidR="00AA280A">
        <w:rPr>
          <w:rFonts w:ascii="Century" w:hAnsi="Century" w:hint="cs"/>
          <w:rtl/>
        </w:rPr>
        <w:t xml:space="preserve">, פ"ד </w:t>
      </w:r>
      <w:proofErr w:type="spellStart"/>
      <w:r w:rsidR="00AA280A">
        <w:rPr>
          <w:rFonts w:ascii="Century" w:hAnsi="Century" w:hint="cs"/>
          <w:rtl/>
        </w:rPr>
        <w:t>מז</w:t>
      </w:r>
      <w:proofErr w:type="spellEnd"/>
      <w:r w:rsidR="00AA280A">
        <w:rPr>
          <w:rFonts w:ascii="Century" w:hAnsi="Century" w:hint="cs"/>
          <w:rtl/>
        </w:rPr>
        <w:t xml:space="preserve">(2) </w:t>
      </w:r>
      <w:r w:rsidR="00953D6F">
        <w:rPr>
          <w:rFonts w:ascii="Century" w:hAnsi="Century" w:hint="cs"/>
          <w:rtl/>
        </w:rPr>
        <w:t>311</w:t>
      </w:r>
      <w:r w:rsidR="00AA280A">
        <w:rPr>
          <w:rFonts w:ascii="Century" w:hAnsi="Century" w:hint="cs"/>
          <w:rtl/>
        </w:rPr>
        <w:t xml:space="preserve">, 319-318 (1993); ע"א 2409/10 </w:t>
      </w:r>
      <w:r w:rsidR="00AA280A">
        <w:rPr>
          <w:rFonts w:ascii="Century" w:hAnsi="Century" w:cs="Miriam" w:hint="cs"/>
          <w:b/>
          <w:spacing w:val="0"/>
          <w:szCs w:val="24"/>
          <w:rtl/>
        </w:rPr>
        <w:t>מגורי נ' מלאכי</w:t>
      </w:r>
      <w:r w:rsidR="00AA280A">
        <w:rPr>
          <w:rFonts w:ascii="Century" w:hAnsi="Century" w:hint="cs"/>
          <w:rtl/>
        </w:rPr>
        <w:t xml:space="preserve">, פסקה 41 (23.8.2012) (להלן: עניין </w:t>
      </w:r>
      <w:r w:rsidR="00AA280A">
        <w:rPr>
          <w:rFonts w:ascii="Century" w:hAnsi="Century" w:cs="Miriam" w:hint="cs"/>
          <w:b/>
          <w:spacing w:val="0"/>
          <w:szCs w:val="24"/>
          <w:rtl/>
        </w:rPr>
        <w:t>מגורי</w:t>
      </w:r>
      <w:r w:rsidR="00AA280A">
        <w:rPr>
          <w:rFonts w:ascii="Century" w:hAnsi="Century" w:hint="cs"/>
          <w:rtl/>
        </w:rPr>
        <w:t>)</w:t>
      </w:r>
      <w:r w:rsidR="00AA280A">
        <w:rPr>
          <w:rFonts w:hint="cs"/>
          <w:rtl/>
        </w:rPr>
        <w:t xml:space="preserve">). הייחוד בענייננו הוא, כאמור, בכך שמבחינה מעשית אספקת השירותים המשיכה גם לאחר מועד סיום העסקה, תוך שנגבה תמורתם המחיר הגבוה. זאת, כאשר עסקינן בטובין שלא ניתן להשיבם </w:t>
      </w:r>
      <w:r w:rsidR="0008718D">
        <w:rPr>
          <w:rFonts w:hint="cs"/>
          <w:rtl/>
        </w:rPr>
        <w:t>בעין</w:t>
      </w:r>
      <w:r w:rsidR="00AA280A">
        <w:rPr>
          <w:rFonts w:hint="cs"/>
          <w:rtl/>
        </w:rPr>
        <w:t xml:space="preserve"> </w:t>
      </w:r>
      <w:r w:rsidR="00AA280A">
        <w:rPr>
          <w:rtl/>
        </w:rPr>
        <w:t>–</w:t>
      </w:r>
      <w:r w:rsidR="00AA280A">
        <w:rPr>
          <w:rFonts w:hint="cs"/>
          <w:rtl/>
        </w:rPr>
        <w:t xml:space="preserve"> שירותי תקשורת שסופקו למערערים ונצרכו על-ידם זה מכבר. </w:t>
      </w:r>
    </w:p>
    <w:p w:rsidR="00AA280A" w:rsidRDefault="00AA280A" w:rsidP="00AA280A">
      <w:pPr>
        <w:pStyle w:val="Ruller41"/>
        <w:rPr>
          <w:rtl/>
        </w:rPr>
      </w:pPr>
    </w:p>
    <w:p w:rsidR="00AA280A" w:rsidRDefault="00722B5A" w:rsidP="0008718D">
      <w:pPr>
        <w:pStyle w:val="Ruller41"/>
        <w:rPr>
          <w:rtl/>
        </w:rPr>
      </w:pPr>
      <w:r>
        <w:rPr>
          <w:rFonts w:hint="cs"/>
          <w:rtl/>
        </w:rPr>
        <w:t>46</w:t>
      </w:r>
      <w:r w:rsidR="00AA280A">
        <w:rPr>
          <w:rFonts w:hint="cs"/>
          <w:rtl/>
        </w:rPr>
        <w:t>.</w:t>
      </w:r>
      <w:r w:rsidR="00AA280A">
        <w:rPr>
          <w:rFonts w:hint="cs"/>
          <w:rtl/>
        </w:rPr>
        <w:tab/>
        <w:t xml:space="preserve">כיצד יש אפוא לנהוג בשלב </w:t>
      </w:r>
      <w:r w:rsidR="0008718D">
        <w:rPr>
          <w:rFonts w:hint="cs"/>
          <w:rtl/>
        </w:rPr>
        <w:t>הנוכחי</w:t>
      </w:r>
      <w:r w:rsidR="00AA280A">
        <w:rPr>
          <w:rFonts w:hint="cs"/>
          <w:rtl/>
        </w:rPr>
        <w:t xml:space="preserve">? אסתפק בכך שאזכיר כי חובת ההשבה עשויה להיות כפופה לשיקול דעתו של בית המשפט, הרשאי לפטור את הצדדים מכולה או מחלקה על יסודם של שיקולי צדק ויושר הרלוונטיים למערכת היחסים של הצדדים (ראו: סעיף 2 לחוק </w:t>
      </w:r>
      <w:r w:rsidR="00AA280A" w:rsidRPr="00082052">
        <w:rPr>
          <w:rFonts w:hint="eastAsia"/>
          <w:rtl/>
        </w:rPr>
        <w:t>עשיית</w:t>
      </w:r>
      <w:r w:rsidR="00AA280A" w:rsidRPr="00082052">
        <w:rPr>
          <w:rtl/>
        </w:rPr>
        <w:t xml:space="preserve"> </w:t>
      </w:r>
      <w:r w:rsidR="00AA280A" w:rsidRPr="00082052">
        <w:rPr>
          <w:rFonts w:hint="eastAsia"/>
          <w:rtl/>
        </w:rPr>
        <w:t>עושר</w:t>
      </w:r>
      <w:r w:rsidR="00AA280A" w:rsidRPr="00082052">
        <w:rPr>
          <w:rtl/>
        </w:rPr>
        <w:t xml:space="preserve"> </w:t>
      </w:r>
      <w:r w:rsidR="00AA280A" w:rsidRPr="00082052">
        <w:rPr>
          <w:rFonts w:hint="eastAsia"/>
          <w:rtl/>
        </w:rPr>
        <w:t>ולא</w:t>
      </w:r>
      <w:r w:rsidR="00AA280A" w:rsidRPr="00082052">
        <w:rPr>
          <w:rtl/>
        </w:rPr>
        <w:t xml:space="preserve"> </w:t>
      </w:r>
      <w:r w:rsidR="00AA280A" w:rsidRPr="00082052">
        <w:rPr>
          <w:rFonts w:hint="eastAsia"/>
          <w:rtl/>
        </w:rPr>
        <w:t>במשפט</w:t>
      </w:r>
      <w:r w:rsidR="00953D6F">
        <w:rPr>
          <w:rFonts w:hint="cs"/>
          <w:rtl/>
        </w:rPr>
        <w:t>, התשל"ט-1979</w:t>
      </w:r>
      <w:r w:rsidR="00AA280A">
        <w:rPr>
          <w:rFonts w:hint="cs"/>
          <w:rtl/>
        </w:rPr>
        <w:t xml:space="preserve">. להרחבה, ראו: ד"נ 20/82 </w:t>
      </w:r>
      <w:r w:rsidR="00AA280A">
        <w:rPr>
          <w:rFonts w:ascii="Century" w:hAnsi="Century" w:cs="Miriam" w:hint="cs"/>
          <w:b/>
          <w:spacing w:val="0"/>
          <w:szCs w:val="24"/>
          <w:rtl/>
        </w:rPr>
        <w:t xml:space="preserve">אדרס </w:t>
      </w:r>
      <w:proofErr w:type="spellStart"/>
      <w:r w:rsidR="00AA280A">
        <w:rPr>
          <w:rFonts w:ascii="Century" w:hAnsi="Century" w:cs="Miriam" w:hint="cs"/>
          <w:b/>
          <w:spacing w:val="0"/>
          <w:szCs w:val="24"/>
          <w:rtl/>
        </w:rPr>
        <w:t>חמרי</w:t>
      </w:r>
      <w:proofErr w:type="spellEnd"/>
      <w:r w:rsidR="00AA280A">
        <w:rPr>
          <w:rFonts w:ascii="Century" w:hAnsi="Century" w:cs="Miriam" w:hint="cs"/>
          <w:b/>
          <w:spacing w:val="0"/>
          <w:szCs w:val="24"/>
          <w:rtl/>
        </w:rPr>
        <w:t xml:space="preserve"> בנין בע"מ נ' </w:t>
      </w:r>
      <w:proofErr w:type="spellStart"/>
      <w:r w:rsidR="00AA280A">
        <w:rPr>
          <w:rFonts w:ascii="Century" w:hAnsi="Century" w:cs="Miriam" w:hint="cs"/>
          <w:b/>
          <w:spacing w:val="0"/>
          <w:szCs w:val="24"/>
          <w:rtl/>
        </w:rPr>
        <w:t>הרלו</w:t>
      </w:r>
      <w:proofErr w:type="spellEnd"/>
      <w:r w:rsidR="00AA280A">
        <w:rPr>
          <w:rFonts w:ascii="Century" w:hAnsi="Century" w:cs="Miriam" w:hint="cs"/>
          <w:b/>
          <w:spacing w:val="0"/>
          <w:szCs w:val="24"/>
          <w:rtl/>
        </w:rPr>
        <w:t xml:space="preserve"> אנד ג'ונס </w:t>
      </w:r>
      <w:proofErr w:type="spellStart"/>
      <w:r w:rsidR="00AA280A">
        <w:rPr>
          <w:rFonts w:ascii="Century" w:hAnsi="Century" w:cs="Miriam" w:hint="cs"/>
          <w:b/>
          <w:spacing w:val="0"/>
          <w:szCs w:val="24"/>
          <w:rtl/>
        </w:rPr>
        <w:t>ג.מ.ב.ה</w:t>
      </w:r>
      <w:proofErr w:type="spellEnd"/>
      <w:r w:rsidR="00AA280A">
        <w:rPr>
          <w:rFonts w:ascii="Century" w:hAnsi="Century" w:hint="cs"/>
          <w:rtl/>
        </w:rPr>
        <w:t xml:space="preserve">, פ"ד </w:t>
      </w:r>
      <w:proofErr w:type="spellStart"/>
      <w:r w:rsidR="00AA280A">
        <w:rPr>
          <w:rFonts w:ascii="Century" w:hAnsi="Century" w:hint="cs"/>
          <w:rtl/>
        </w:rPr>
        <w:t>מב</w:t>
      </w:r>
      <w:proofErr w:type="spellEnd"/>
      <w:r w:rsidR="00AA280A">
        <w:rPr>
          <w:rFonts w:ascii="Century" w:hAnsi="Century" w:hint="cs"/>
          <w:rtl/>
        </w:rPr>
        <w:t>(1) 221, 273 (1988)</w:t>
      </w:r>
      <w:r w:rsidR="00AA280A">
        <w:rPr>
          <w:rFonts w:hint="cs"/>
          <w:rtl/>
        </w:rPr>
        <w:t xml:space="preserve">; עניין </w:t>
      </w:r>
      <w:r w:rsidR="00AA280A">
        <w:rPr>
          <w:rFonts w:ascii="Century" w:hAnsi="Century" w:cs="Miriam" w:hint="cs"/>
          <w:b/>
          <w:spacing w:val="0"/>
          <w:szCs w:val="24"/>
          <w:rtl/>
        </w:rPr>
        <w:t>מגורי</w:t>
      </w:r>
      <w:r w:rsidR="00AA280A">
        <w:rPr>
          <w:rFonts w:ascii="Century" w:hAnsi="Century" w:hint="cs"/>
          <w:rtl/>
        </w:rPr>
        <w:t xml:space="preserve">, בפסקה 42. גם כאן ניתן לציין את תחולתם של עקרונות דומים בגדרו של </w:t>
      </w:r>
      <w:r w:rsidR="00AA280A">
        <w:rPr>
          <w:rFonts w:hint="cs"/>
          <w:rtl/>
        </w:rPr>
        <w:t>סעיף 31 לחוק החוזים (חלק כללי), התשל"ג-1973</w:t>
      </w:r>
      <w:r w:rsidR="00AA280A">
        <w:rPr>
          <w:rFonts w:ascii="Century" w:hAnsi="Century" w:hint="cs"/>
          <w:rtl/>
        </w:rPr>
        <w:t>).</w:t>
      </w:r>
      <w:r w:rsidR="00AA280A">
        <w:rPr>
          <w:rFonts w:hint="cs"/>
          <w:rtl/>
        </w:rPr>
        <w:t xml:space="preserve"> בהתחשב בכך ששירותי התקשורת אמנם נצרכו על-ידי המערערים</w:t>
      </w:r>
      <w:r w:rsidR="00953D6F">
        <w:rPr>
          <w:rFonts w:hint="cs"/>
          <w:rtl/>
        </w:rPr>
        <w:t>,</w:t>
      </w:r>
      <w:r w:rsidR="00AA280A">
        <w:rPr>
          <w:rFonts w:hint="cs"/>
          <w:rtl/>
        </w:rPr>
        <w:t xml:space="preserve"> השאלה </w:t>
      </w:r>
      <w:r w:rsidR="00953D6F">
        <w:rPr>
          <w:rFonts w:hint="cs"/>
          <w:rtl/>
        </w:rPr>
        <w:t>ה</w:t>
      </w:r>
      <w:r w:rsidR="00AA280A">
        <w:rPr>
          <w:rFonts w:hint="cs"/>
          <w:rtl/>
        </w:rPr>
        <w:t xml:space="preserve">נותרת נוגעת בעיקרה לגובה ההשבה. הבסיס לדיון בהשבה לא יהיה המחיר ששולם במלואו, אלא היתרה העולה על המחיר המקורי </w:t>
      </w:r>
      <w:r w:rsidR="00AA280A">
        <w:rPr>
          <w:rFonts w:hint="cs"/>
          <w:rtl/>
        </w:rPr>
        <w:lastRenderedPageBreak/>
        <w:t xml:space="preserve">שהוסכם בגדרי תקופת ההטבה ("הדלתא"). מחיר זה יכול לשמש עוגן לקביעת השווי הראוי של השירות. למעשה, ניתן לומר כי גישה זו, ולו כנקודת מוצא, מגשימה את תכליתו הבסיסית של החוק ביחס לעסקה קצובה מן הסוג דנן. </w:t>
      </w:r>
      <w:r w:rsidR="00953D6F">
        <w:rPr>
          <w:rFonts w:hint="cs"/>
          <w:rtl/>
        </w:rPr>
        <w:t>למעשה,</w:t>
      </w:r>
      <w:r w:rsidR="00AA280A">
        <w:rPr>
          <w:rFonts w:hint="cs"/>
          <w:rtl/>
        </w:rPr>
        <w:t xml:space="preserve"> אף המערערים לא עתרו לסעד של השבה מלאה (ראו והשוו: בג"ץ 6231/92 </w:t>
      </w:r>
      <w:proofErr w:type="spellStart"/>
      <w:r w:rsidR="00AA280A">
        <w:rPr>
          <w:rFonts w:ascii="Century" w:hAnsi="Century" w:cs="Miriam" w:hint="cs"/>
          <w:b/>
          <w:spacing w:val="0"/>
          <w:szCs w:val="24"/>
          <w:rtl/>
        </w:rPr>
        <w:t>זגורי</w:t>
      </w:r>
      <w:proofErr w:type="spellEnd"/>
      <w:r w:rsidR="00AA280A">
        <w:rPr>
          <w:rFonts w:ascii="Century" w:hAnsi="Century" w:cs="Miriam" w:hint="cs"/>
          <w:b/>
          <w:spacing w:val="0"/>
          <w:szCs w:val="24"/>
          <w:rtl/>
        </w:rPr>
        <w:t xml:space="preserve"> נ' בית הדין הארצי לעבודה</w:t>
      </w:r>
      <w:r w:rsidR="00AA280A">
        <w:rPr>
          <w:rFonts w:ascii="Century" w:hAnsi="Century" w:hint="cs"/>
          <w:rtl/>
        </w:rPr>
        <w:t>, פ"ד מט(4) 749, 791 (1995);</w:t>
      </w:r>
      <w:r w:rsidR="00AA280A">
        <w:rPr>
          <w:rFonts w:hint="cs"/>
          <w:rtl/>
        </w:rPr>
        <w:t xml:space="preserve"> ע"א 8728/07 </w:t>
      </w:r>
      <w:proofErr w:type="spellStart"/>
      <w:r w:rsidR="00AA280A" w:rsidRPr="00DD1298">
        <w:rPr>
          <w:rFonts w:ascii="Century" w:hAnsi="Century" w:cs="Miriam" w:hint="eastAsia"/>
          <w:b/>
          <w:spacing w:val="0"/>
          <w:szCs w:val="24"/>
          <w:rtl/>
        </w:rPr>
        <w:t>אגריפרם</w:t>
      </w:r>
      <w:proofErr w:type="spellEnd"/>
      <w:r w:rsidR="00AA280A" w:rsidRPr="00DD1298">
        <w:rPr>
          <w:rFonts w:ascii="Century" w:hAnsi="Century" w:cs="Miriam"/>
          <w:b/>
          <w:spacing w:val="0"/>
          <w:szCs w:val="24"/>
          <w:rtl/>
        </w:rPr>
        <w:t xml:space="preserve"> </w:t>
      </w:r>
      <w:r w:rsidR="00AA280A" w:rsidRPr="00DD1298">
        <w:rPr>
          <w:rFonts w:ascii="Century" w:hAnsi="Century" w:cs="Miriam" w:hint="eastAsia"/>
          <w:b/>
          <w:spacing w:val="0"/>
          <w:szCs w:val="24"/>
          <w:rtl/>
        </w:rPr>
        <w:t>אינטרנשיונל</w:t>
      </w:r>
      <w:r w:rsidR="00AA280A" w:rsidRPr="00DD1298">
        <w:rPr>
          <w:rFonts w:ascii="Century" w:hAnsi="Century" w:cs="Miriam"/>
          <w:b/>
          <w:spacing w:val="0"/>
          <w:szCs w:val="24"/>
          <w:rtl/>
        </w:rPr>
        <w:t xml:space="preserve"> </w:t>
      </w:r>
      <w:r w:rsidR="00AA280A" w:rsidRPr="00DD1298">
        <w:rPr>
          <w:rFonts w:ascii="Century" w:hAnsi="Century" w:cs="Miriam" w:hint="eastAsia"/>
          <w:b/>
          <w:spacing w:val="0"/>
          <w:szCs w:val="24"/>
          <w:rtl/>
        </w:rPr>
        <w:t>בע</w:t>
      </w:r>
      <w:r w:rsidR="00AA280A" w:rsidRPr="00DD1298">
        <w:rPr>
          <w:rFonts w:ascii="Century" w:hAnsi="Century" w:cs="Miriam"/>
          <w:b/>
          <w:spacing w:val="0"/>
          <w:szCs w:val="24"/>
          <w:rtl/>
        </w:rPr>
        <w:t>"</w:t>
      </w:r>
      <w:r w:rsidR="00AA280A" w:rsidRPr="00DD1298">
        <w:rPr>
          <w:rFonts w:ascii="Century" w:hAnsi="Century" w:cs="Miriam" w:hint="eastAsia"/>
          <w:b/>
          <w:spacing w:val="0"/>
          <w:szCs w:val="24"/>
          <w:rtl/>
        </w:rPr>
        <w:t>מ</w:t>
      </w:r>
      <w:r w:rsidR="00AA280A" w:rsidRPr="00DD1298">
        <w:rPr>
          <w:rFonts w:ascii="Century" w:hAnsi="Century" w:cs="Miriam"/>
          <w:b/>
          <w:spacing w:val="0"/>
          <w:szCs w:val="24"/>
          <w:rtl/>
        </w:rPr>
        <w:t xml:space="preserve"> </w:t>
      </w:r>
      <w:r w:rsidR="00AA280A" w:rsidRPr="00DD1298">
        <w:rPr>
          <w:rFonts w:ascii="Century" w:hAnsi="Century" w:cs="Miriam" w:hint="eastAsia"/>
          <w:b/>
          <w:spacing w:val="0"/>
          <w:szCs w:val="24"/>
          <w:rtl/>
        </w:rPr>
        <w:t>נ</w:t>
      </w:r>
      <w:r w:rsidR="00AA280A" w:rsidRPr="00DD1298">
        <w:rPr>
          <w:rFonts w:ascii="Century" w:hAnsi="Century" w:cs="Miriam"/>
          <w:b/>
          <w:spacing w:val="0"/>
          <w:szCs w:val="24"/>
          <w:rtl/>
        </w:rPr>
        <w:t xml:space="preserve">' </w:t>
      </w:r>
      <w:r w:rsidR="00AA280A" w:rsidRPr="00DD1298">
        <w:rPr>
          <w:rFonts w:ascii="Century" w:hAnsi="Century" w:cs="Miriam" w:hint="eastAsia"/>
          <w:b/>
          <w:spacing w:val="0"/>
          <w:szCs w:val="24"/>
          <w:rtl/>
        </w:rPr>
        <w:t>מאירסון</w:t>
      </w:r>
      <w:r w:rsidR="00AA280A">
        <w:rPr>
          <w:rFonts w:hint="cs"/>
          <w:rtl/>
        </w:rPr>
        <w:t xml:space="preserve">, פסקאות 53-52 (15.7.2010); רע"א 5210/08 </w:t>
      </w:r>
      <w:r w:rsidR="00AA280A">
        <w:rPr>
          <w:rFonts w:ascii="Century" w:hAnsi="Century" w:cs="Miriam" w:hint="cs"/>
          <w:b/>
          <w:spacing w:val="0"/>
          <w:szCs w:val="24"/>
          <w:rtl/>
        </w:rPr>
        <w:t>רוזנבלום נ' מועצה מקומית חבל מודיעין</w:t>
      </w:r>
      <w:r w:rsidR="00AA280A">
        <w:rPr>
          <w:rFonts w:ascii="Century" w:hAnsi="Century" w:hint="cs"/>
          <w:rtl/>
        </w:rPr>
        <w:t xml:space="preserve">, פסקאות 35-31 (20.12.2010). כן ראו: רע"א 4657/21 </w:t>
      </w:r>
      <w:r w:rsidR="00AA280A" w:rsidRPr="00A710FA">
        <w:rPr>
          <w:rFonts w:ascii="Century" w:hAnsi="Century" w:cs="Miriam" w:hint="eastAsia"/>
          <w:b/>
          <w:spacing w:val="0"/>
          <w:szCs w:val="24"/>
          <w:rtl/>
        </w:rPr>
        <w:t>כהן</w:t>
      </w:r>
      <w:r w:rsidR="00AA280A" w:rsidRPr="00A710FA">
        <w:rPr>
          <w:rFonts w:ascii="Century" w:hAnsi="Century" w:cs="Miriam"/>
          <w:b/>
          <w:spacing w:val="0"/>
          <w:szCs w:val="24"/>
          <w:rtl/>
        </w:rPr>
        <w:t xml:space="preserve"> </w:t>
      </w:r>
      <w:r w:rsidR="00AA280A" w:rsidRPr="00A710FA">
        <w:rPr>
          <w:rFonts w:ascii="Century" w:hAnsi="Century" w:cs="Miriam" w:hint="eastAsia"/>
          <w:b/>
          <w:spacing w:val="0"/>
          <w:szCs w:val="24"/>
          <w:rtl/>
        </w:rPr>
        <w:t>נ</w:t>
      </w:r>
      <w:r w:rsidR="00AA280A" w:rsidRPr="00A710FA">
        <w:rPr>
          <w:rFonts w:ascii="Century" w:hAnsi="Century" w:cs="Miriam"/>
          <w:b/>
          <w:spacing w:val="0"/>
          <w:szCs w:val="24"/>
          <w:rtl/>
        </w:rPr>
        <w:t xml:space="preserve">' </w:t>
      </w:r>
      <w:proofErr w:type="spellStart"/>
      <w:r w:rsidR="00AA280A" w:rsidRPr="00A710FA">
        <w:rPr>
          <w:rFonts w:ascii="Century" w:hAnsi="Century" w:cs="Miriam" w:hint="eastAsia"/>
          <w:b/>
          <w:spacing w:val="0"/>
          <w:szCs w:val="24"/>
          <w:rtl/>
        </w:rPr>
        <w:t>משה</w:t>
      </w:r>
      <w:r w:rsidR="00AA280A" w:rsidRPr="00A710FA">
        <w:rPr>
          <w:rFonts w:ascii="Century" w:hAnsi="Century" w:cs="Miriam"/>
          <w:b/>
          <w:spacing w:val="0"/>
          <w:szCs w:val="24"/>
          <w:rtl/>
        </w:rPr>
        <w:t>"</w:t>
      </w:r>
      <w:r w:rsidR="00AA280A" w:rsidRPr="00A710FA">
        <w:rPr>
          <w:rFonts w:ascii="Century" w:hAnsi="Century" w:cs="Miriam" w:hint="eastAsia"/>
          <w:b/>
          <w:spacing w:val="0"/>
          <w:szCs w:val="24"/>
          <w:rtl/>
        </w:rPr>
        <w:t>ב</w:t>
      </w:r>
      <w:proofErr w:type="spellEnd"/>
      <w:r w:rsidR="00AA280A" w:rsidRPr="00A710FA">
        <w:rPr>
          <w:rFonts w:ascii="Century" w:hAnsi="Century" w:cs="Miriam"/>
          <w:b/>
          <w:spacing w:val="0"/>
          <w:szCs w:val="24"/>
          <w:rtl/>
        </w:rPr>
        <w:t xml:space="preserve"> </w:t>
      </w:r>
      <w:r w:rsidR="00AA280A" w:rsidRPr="00A710FA">
        <w:rPr>
          <w:rFonts w:ascii="Century" w:hAnsi="Century" w:cs="Miriam" w:hint="eastAsia"/>
          <w:b/>
          <w:spacing w:val="0"/>
          <w:szCs w:val="24"/>
          <w:rtl/>
        </w:rPr>
        <w:t>חברה</w:t>
      </w:r>
      <w:r w:rsidR="00AA280A" w:rsidRPr="00A710FA">
        <w:rPr>
          <w:rFonts w:ascii="Century" w:hAnsi="Century" w:cs="Miriam"/>
          <w:b/>
          <w:spacing w:val="0"/>
          <w:szCs w:val="24"/>
          <w:rtl/>
        </w:rPr>
        <w:t xml:space="preserve"> </w:t>
      </w:r>
      <w:r w:rsidR="00AA280A" w:rsidRPr="00A710FA">
        <w:rPr>
          <w:rFonts w:ascii="Century" w:hAnsi="Century" w:cs="Miriam" w:hint="eastAsia"/>
          <w:b/>
          <w:spacing w:val="0"/>
          <w:szCs w:val="24"/>
          <w:rtl/>
        </w:rPr>
        <w:t>לבניין</w:t>
      </w:r>
      <w:r w:rsidR="00AA280A" w:rsidRPr="00A710FA">
        <w:rPr>
          <w:rFonts w:ascii="Century" w:hAnsi="Century" w:cs="Miriam"/>
          <w:b/>
          <w:spacing w:val="0"/>
          <w:szCs w:val="24"/>
          <w:rtl/>
        </w:rPr>
        <w:t xml:space="preserve"> </w:t>
      </w:r>
      <w:r w:rsidR="00AA280A" w:rsidRPr="00A710FA">
        <w:rPr>
          <w:rFonts w:ascii="Century" w:hAnsi="Century" w:cs="Miriam" w:hint="eastAsia"/>
          <w:b/>
          <w:spacing w:val="0"/>
          <w:szCs w:val="24"/>
          <w:rtl/>
        </w:rPr>
        <w:t>ופיתוח</w:t>
      </w:r>
      <w:r w:rsidR="00AA280A" w:rsidRPr="00A710FA">
        <w:rPr>
          <w:rFonts w:ascii="Century" w:hAnsi="Century" w:cs="Miriam"/>
          <w:b/>
          <w:spacing w:val="0"/>
          <w:szCs w:val="24"/>
          <w:rtl/>
        </w:rPr>
        <w:t xml:space="preserve"> </w:t>
      </w:r>
      <w:r w:rsidR="00AA280A" w:rsidRPr="00A710FA">
        <w:rPr>
          <w:rFonts w:ascii="Century" w:hAnsi="Century" w:cs="Miriam" w:hint="eastAsia"/>
          <w:b/>
          <w:spacing w:val="0"/>
          <w:szCs w:val="24"/>
          <w:rtl/>
        </w:rPr>
        <w:t>בע</w:t>
      </w:r>
      <w:r w:rsidR="00AA280A" w:rsidRPr="00A710FA">
        <w:rPr>
          <w:rFonts w:ascii="Century" w:hAnsi="Century" w:cs="Miriam"/>
          <w:b/>
          <w:spacing w:val="0"/>
          <w:szCs w:val="24"/>
          <w:rtl/>
        </w:rPr>
        <w:t>"</w:t>
      </w:r>
      <w:r w:rsidR="00AA280A" w:rsidRPr="00A710FA">
        <w:rPr>
          <w:rFonts w:ascii="Century" w:hAnsi="Century" w:cs="Miriam" w:hint="eastAsia"/>
          <w:b/>
          <w:spacing w:val="0"/>
          <w:szCs w:val="24"/>
          <w:rtl/>
        </w:rPr>
        <w:t>מ</w:t>
      </w:r>
      <w:r w:rsidR="00AA280A">
        <w:rPr>
          <w:rFonts w:ascii="Century" w:hAnsi="Century" w:hint="cs"/>
          <w:rtl/>
        </w:rPr>
        <w:t xml:space="preserve">, פסקה 65 לפסק דינו של השופט </w:t>
      </w:r>
      <w:r w:rsidR="00AA280A">
        <w:rPr>
          <w:rFonts w:ascii="Century" w:hAnsi="Century" w:cs="Miriam" w:hint="cs"/>
          <w:b/>
          <w:spacing w:val="0"/>
          <w:szCs w:val="24"/>
          <w:rtl/>
        </w:rPr>
        <w:t xml:space="preserve">נ' </w:t>
      </w:r>
      <w:proofErr w:type="spellStart"/>
      <w:r w:rsidR="00AA280A">
        <w:rPr>
          <w:rFonts w:ascii="Century" w:hAnsi="Century" w:cs="Miriam" w:hint="cs"/>
          <w:b/>
          <w:spacing w:val="0"/>
          <w:szCs w:val="24"/>
          <w:rtl/>
        </w:rPr>
        <w:t>סולברג</w:t>
      </w:r>
      <w:proofErr w:type="spellEnd"/>
      <w:r w:rsidR="00AA280A">
        <w:rPr>
          <w:rFonts w:ascii="Century" w:hAnsi="Century" w:hint="cs"/>
          <w:rtl/>
        </w:rPr>
        <w:t xml:space="preserve"> (3.8.2022) וההפניות שם</w:t>
      </w:r>
      <w:r w:rsidR="00AA280A">
        <w:rPr>
          <w:rFonts w:hint="cs"/>
          <w:rtl/>
        </w:rPr>
        <w:t xml:space="preserve">). לא למותר לציין, כי אף בהקשרים קרובים שבהם נדרשת קביעתו של מחיר המשמש בסיס להשבה, ניתן משקל לאשם היחסי בהתנהלותם של הצדדים (ראו והשוו: </w:t>
      </w:r>
      <w:r w:rsidR="00AA280A" w:rsidRPr="000A4A6A">
        <w:rPr>
          <w:rFonts w:ascii="Century" w:hAnsi="Century" w:cs="Miriam" w:hint="cs"/>
          <w:b/>
          <w:spacing w:val="0"/>
          <w:szCs w:val="24"/>
          <w:rtl/>
        </w:rPr>
        <w:t>פרידמן ובר-אור</w:t>
      </w:r>
      <w:r w:rsidR="00AA280A">
        <w:rPr>
          <w:rFonts w:hint="cs"/>
          <w:rtl/>
        </w:rPr>
        <w:t>, בעמ' 901-892).</w:t>
      </w:r>
    </w:p>
    <w:p w:rsidR="00AA280A" w:rsidRDefault="00AA280A" w:rsidP="00AA280A">
      <w:pPr>
        <w:pStyle w:val="Ruller41"/>
        <w:rPr>
          <w:rtl/>
        </w:rPr>
      </w:pPr>
    </w:p>
    <w:p w:rsidR="00AA280A" w:rsidRDefault="00722B5A" w:rsidP="00D76B85">
      <w:pPr>
        <w:pStyle w:val="Ruller41"/>
        <w:rPr>
          <w:rtl/>
        </w:rPr>
      </w:pPr>
      <w:r>
        <w:rPr>
          <w:rFonts w:hint="cs"/>
          <w:rtl/>
        </w:rPr>
        <w:t>47</w:t>
      </w:r>
      <w:r w:rsidR="00AA280A">
        <w:rPr>
          <w:rFonts w:hint="cs"/>
          <w:rtl/>
        </w:rPr>
        <w:t>.</w:t>
      </w:r>
      <w:r w:rsidR="00AA280A">
        <w:rPr>
          <w:rFonts w:hint="cs"/>
          <w:rtl/>
        </w:rPr>
        <w:tab/>
        <w:t xml:space="preserve">בטרם סיום אוסיף, כי ביחס לעילה שעניינה במחירה של חבילת שירותי התקשורת, כמו ביחס לעילה העוסקת בעסקת הממירים שאושרה על-ידי בית המשפט המחוזי, הצדדים יוכלו להעלות טענותיהם באשר לאפשרות שנוצרה ביניהם הסכמה חדשה, או כי הסעד הכספי </w:t>
      </w:r>
      <w:r w:rsidR="00D76B85">
        <w:rPr>
          <w:rFonts w:hint="cs"/>
          <w:rtl/>
        </w:rPr>
        <w:t>בענייננו</w:t>
      </w:r>
      <w:r w:rsidR="00AA280A">
        <w:rPr>
          <w:rFonts w:hint="cs"/>
          <w:rtl/>
        </w:rPr>
        <w:t xml:space="preserve"> הוא בעל ממד עונשי בנסיבות העניין. עניין זה יוכרע בהליך הייצוגי העיקרי. לצד זאת, ומבלי לקבוע מסמרות, האמת ניתנת להיאמר כי המשוכה שבפניה ניצבת סלקום בהקשר זה היא לכאורה גבוהה, בין היתר, על רקע הדרישה הסטטוטורי</w:t>
      </w:r>
      <w:r w:rsidR="00AA280A">
        <w:rPr>
          <w:rFonts w:hint="eastAsia"/>
          <w:rtl/>
        </w:rPr>
        <w:t>ת</w:t>
      </w:r>
      <w:r w:rsidR="00AA280A">
        <w:rPr>
          <w:rFonts w:hint="cs"/>
          <w:rtl/>
        </w:rPr>
        <w:t xml:space="preserve"> לקיומה של הסכמה מפורשת מצדו של הצרכן (ראו: עניין </w:t>
      </w:r>
      <w:r w:rsidR="00AA280A" w:rsidRPr="0058209A">
        <w:rPr>
          <w:rFonts w:ascii="Century" w:hAnsi="Century" w:cs="Miriam" w:hint="eastAsia"/>
          <w:b/>
          <w:spacing w:val="0"/>
          <w:szCs w:val="24"/>
          <w:rtl/>
        </w:rPr>
        <w:t>רמי</w:t>
      </w:r>
      <w:r w:rsidR="00AA280A" w:rsidRPr="0058209A">
        <w:rPr>
          <w:rFonts w:ascii="Century" w:hAnsi="Century" w:cs="Miriam"/>
          <w:b/>
          <w:spacing w:val="0"/>
          <w:szCs w:val="24"/>
          <w:rtl/>
        </w:rPr>
        <w:t xml:space="preserve"> </w:t>
      </w:r>
      <w:r w:rsidR="00AA280A" w:rsidRPr="0058209A">
        <w:rPr>
          <w:rFonts w:ascii="Century" w:hAnsi="Century" w:cs="Miriam" w:hint="eastAsia"/>
          <w:b/>
          <w:spacing w:val="0"/>
          <w:szCs w:val="24"/>
          <w:rtl/>
        </w:rPr>
        <w:t>לוי</w:t>
      </w:r>
      <w:r w:rsidR="00AA280A">
        <w:rPr>
          <w:rFonts w:hint="cs"/>
          <w:rtl/>
        </w:rPr>
        <w:t>, בפסקה 5). לבסוף, אציין כי נוכח קביעתי שעומדת למערערים עילת השבה, איני נדרשת להכריע אף בטענות הנוגעות לקיומה של עילה נזיקית המקימה סעד זהה (ראו:</w:t>
      </w:r>
      <w:r w:rsidR="00AA280A" w:rsidRPr="009B4B2A">
        <w:rPr>
          <w:rFonts w:hint="eastAsia"/>
          <w:rtl/>
        </w:rPr>
        <w:t xml:space="preserve"> רע</w:t>
      </w:r>
      <w:r w:rsidR="00AA280A" w:rsidRPr="009B4B2A">
        <w:rPr>
          <w:rtl/>
        </w:rPr>
        <w:t>"</w:t>
      </w:r>
      <w:r w:rsidR="00AA280A" w:rsidRPr="009B4B2A">
        <w:rPr>
          <w:rFonts w:hint="eastAsia"/>
          <w:rtl/>
        </w:rPr>
        <w:t>א</w:t>
      </w:r>
      <w:r w:rsidR="00AA280A" w:rsidRPr="009B4B2A">
        <w:rPr>
          <w:rtl/>
        </w:rPr>
        <w:t xml:space="preserve"> 2128/09 </w:t>
      </w:r>
      <w:r w:rsidR="00AA280A" w:rsidRPr="00417BB6">
        <w:rPr>
          <w:rFonts w:ascii="Century" w:hAnsi="Century" w:cs="Miriam" w:hint="eastAsia"/>
          <w:b/>
          <w:spacing w:val="0"/>
          <w:szCs w:val="24"/>
          <w:rtl/>
        </w:rPr>
        <w:t>הפניקס</w:t>
      </w:r>
      <w:r w:rsidR="00AA280A" w:rsidRPr="00417BB6">
        <w:rPr>
          <w:rFonts w:ascii="Century" w:hAnsi="Century" w:cs="Miriam"/>
          <w:b/>
          <w:spacing w:val="0"/>
          <w:szCs w:val="24"/>
          <w:rtl/>
        </w:rPr>
        <w:t xml:space="preserve"> </w:t>
      </w:r>
      <w:r w:rsidR="00AA280A" w:rsidRPr="00417BB6">
        <w:rPr>
          <w:rFonts w:ascii="Century" w:hAnsi="Century" w:cs="Miriam" w:hint="eastAsia"/>
          <w:b/>
          <w:spacing w:val="0"/>
          <w:szCs w:val="24"/>
          <w:rtl/>
        </w:rPr>
        <w:t>חברה</w:t>
      </w:r>
      <w:r w:rsidR="00AA280A" w:rsidRPr="00417BB6">
        <w:rPr>
          <w:rFonts w:ascii="Century" w:hAnsi="Century" w:cs="Miriam"/>
          <w:b/>
          <w:spacing w:val="0"/>
          <w:szCs w:val="24"/>
          <w:rtl/>
        </w:rPr>
        <w:t xml:space="preserve"> </w:t>
      </w:r>
      <w:r w:rsidR="00AA280A" w:rsidRPr="00417BB6">
        <w:rPr>
          <w:rFonts w:ascii="Century" w:hAnsi="Century" w:cs="Miriam" w:hint="eastAsia"/>
          <w:b/>
          <w:spacing w:val="0"/>
          <w:szCs w:val="24"/>
          <w:rtl/>
        </w:rPr>
        <w:t>לביטוח</w:t>
      </w:r>
      <w:r w:rsidR="00AA280A" w:rsidRPr="00417BB6">
        <w:rPr>
          <w:rFonts w:ascii="Century" w:hAnsi="Century" w:cs="Miriam"/>
          <w:b/>
          <w:spacing w:val="0"/>
          <w:szCs w:val="24"/>
          <w:rtl/>
        </w:rPr>
        <w:t xml:space="preserve"> </w:t>
      </w:r>
      <w:r w:rsidR="00AA280A" w:rsidRPr="00417BB6">
        <w:rPr>
          <w:rFonts w:ascii="Century" w:hAnsi="Century" w:cs="Miriam" w:hint="eastAsia"/>
          <w:b/>
          <w:spacing w:val="0"/>
          <w:szCs w:val="24"/>
          <w:rtl/>
        </w:rPr>
        <w:t>בע</w:t>
      </w:r>
      <w:r w:rsidR="00AA280A" w:rsidRPr="00417BB6">
        <w:rPr>
          <w:rFonts w:ascii="Century" w:hAnsi="Century" w:cs="Miriam"/>
          <w:b/>
          <w:spacing w:val="0"/>
          <w:szCs w:val="24"/>
          <w:rtl/>
        </w:rPr>
        <w:t>"</w:t>
      </w:r>
      <w:r w:rsidR="00AA280A" w:rsidRPr="00417BB6">
        <w:rPr>
          <w:rFonts w:ascii="Century" w:hAnsi="Century" w:cs="Miriam" w:hint="eastAsia"/>
          <w:b/>
          <w:spacing w:val="0"/>
          <w:szCs w:val="24"/>
          <w:rtl/>
        </w:rPr>
        <w:t>מ</w:t>
      </w:r>
      <w:r w:rsidR="00AA280A" w:rsidRPr="00417BB6">
        <w:rPr>
          <w:rFonts w:ascii="Century" w:hAnsi="Century" w:cs="Miriam"/>
          <w:b/>
          <w:spacing w:val="0"/>
          <w:szCs w:val="24"/>
          <w:rtl/>
        </w:rPr>
        <w:t xml:space="preserve"> </w:t>
      </w:r>
      <w:r w:rsidR="00AA280A" w:rsidRPr="00417BB6">
        <w:rPr>
          <w:rFonts w:ascii="Century" w:hAnsi="Century" w:cs="Miriam" w:hint="eastAsia"/>
          <w:b/>
          <w:spacing w:val="0"/>
          <w:szCs w:val="24"/>
          <w:rtl/>
        </w:rPr>
        <w:t>נ</w:t>
      </w:r>
      <w:r w:rsidR="00AA280A" w:rsidRPr="00417BB6">
        <w:rPr>
          <w:rFonts w:ascii="Century" w:hAnsi="Century" w:cs="Miriam"/>
          <w:b/>
          <w:spacing w:val="0"/>
          <w:szCs w:val="24"/>
          <w:rtl/>
        </w:rPr>
        <w:t xml:space="preserve">' </w:t>
      </w:r>
      <w:r w:rsidR="00AA280A" w:rsidRPr="00417BB6">
        <w:rPr>
          <w:rFonts w:ascii="Century" w:hAnsi="Century" w:cs="Miriam" w:hint="eastAsia"/>
          <w:b/>
          <w:spacing w:val="0"/>
          <w:szCs w:val="24"/>
          <w:rtl/>
        </w:rPr>
        <w:t>עמוסי</w:t>
      </w:r>
      <w:r w:rsidR="00AA280A" w:rsidRPr="009B4B2A">
        <w:rPr>
          <w:rtl/>
        </w:rPr>
        <w:t xml:space="preserve">, </w:t>
      </w:r>
      <w:r w:rsidR="00AA280A" w:rsidRPr="009B4B2A">
        <w:rPr>
          <w:rFonts w:hint="eastAsia"/>
          <w:rtl/>
        </w:rPr>
        <w:t>פסקה</w:t>
      </w:r>
      <w:r w:rsidR="00AA280A" w:rsidRPr="009B4B2A">
        <w:rPr>
          <w:rtl/>
        </w:rPr>
        <w:t xml:space="preserve"> 17 (5.7.2012)</w:t>
      </w:r>
      <w:r w:rsidR="00AA280A">
        <w:rPr>
          <w:rFonts w:hint="cs"/>
          <w:rtl/>
        </w:rPr>
        <w:t xml:space="preserve">; </w:t>
      </w:r>
      <w:r w:rsidR="00953D6F">
        <w:rPr>
          <w:rFonts w:hint="cs"/>
          <w:rtl/>
        </w:rPr>
        <w:t>עניין</w:t>
      </w:r>
      <w:r w:rsidR="00AA280A" w:rsidRPr="00417BB6">
        <w:rPr>
          <w:rFonts w:ascii="Century" w:hAnsi="Century" w:cs="Miriam"/>
          <w:b/>
          <w:spacing w:val="0"/>
          <w:szCs w:val="24"/>
          <w:rtl/>
        </w:rPr>
        <w:t xml:space="preserve"> </w:t>
      </w:r>
      <w:proofErr w:type="spellStart"/>
      <w:r w:rsidR="00AA280A" w:rsidRPr="00417BB6">
        <w:rPr>
          <w:rFonts w:ascii="Century" w:hAnsi="Century" w:cs="Miriam" w:hint="eastAsia"/>
          <w:b/>
          <w:spacing w:val="0"/>
          <w:szCs w:val="24"/>
          <w:rtl/>
        </w:rPr>
        <w:t>לפינר</w:t>
      </w:r>
      <w:proofErr w:type="spellEnd"/>
      <w:r w:rsidR="00AA280A" w:rsidRPr="009B4B2A">
        <w:rPr>
          <w:rtl/>
        </w:rPr>
        <w:t xml:space="preserve">, </w:t>
      </w:r>
      <w:r w:rsidR="00953D6F">
        <w:rPr>
          <w:rFonts w:hint="cs"/>
          <w:rtl/>
        </w:rPr>
        <w:t>ב</w:t>
      </w:r>
      <w:r w:rsidR="00AA280A" w:rsidRPr="009B4B2A">
        <w:rPr>
          <w:rFonts w:hint="eastAsia"/>
          <w:rtl/>
        </w:rPr>
        <w:t>פסקה</w:t>
      </w:r>
      <w:r w:rsidR="00953D6F">
        <w:rPr>
          <w:rtl/>
        </w:rPr>
        <w:t xml:space="preserve"> 28</w:t>
      </w:r>
      <w:r w:rsidR="00AA280A">
        <w:rPr>
          <w:rFonts w:hint="cs"/>
          <w:rtl/>
        </w:rPr>
        <w:t xml:space="preserve">). מכל מקום, מובן כי לצורך קבלת סעד במישור הנזיקי מוטלת על המערערים החובה להצביע על קשר סיבתי בין עליית המחירים ובין הנזק הנטען. </w:t>
      </w:r>
    </w:p>
    <w:p w:rsidR="00AA280A" w:rsidRDefault="00AA280A" w:rsidP="00AA280A">
      <w:pPr>
        <w:pStyle w:val="Ruller41"/>
        <w:rPr>
          <w:rtl/>
        </w:rPr>
      </w:pPr>
    </w:p>
    <w:p w:rsidR="00AA280A" w:rsidRPr="00FC3FB8" w:rsidRDefault="00AA280A" w:rsidP="00AA280A">
      <w:pPr>
        <w:pStyle w:val="Ruller41"/>
        <w:rPr>
          <w:rFonts w:ascii="Century" w:hAnsi="Century" w:cs="Miriam"/>
          <w:b/>
          <w:spacing w:val="0"/>
          <w:szCs w:val="24"/>
          <w:rtl/>
        </w:rPr>
      </w:pPr>
      <w:r w:rsidRPr="00FC3FB8">
        <w:rPr>
          <w:rFonts w:ascii="Century" w:hAnsi="Century" w:cs="Miriam" w:hint="eastAsia"/>
          <w:b/>
          <w:spacing w:val="0"/>
          <w:szCs w:val="24"/>
          <w:rtl/>
        </w:rPr>
        <w:t>לסיכום</w:t>
      </w:r>
    </w:p>
    <w:p w:rsidR="00AA280A" w:rsidRDefault="00AA280A" w:rsidP="00AA280A">
      <w:pPr>
        <w:pStyle w:val="Ruller41"/>
        <w:rPr>
          <w:rtl/>
        </w:rPr>
      </w:pPr>
    </w:p>
    <w:p w:rsidR="00AA280A" w:rsidRDefault="00722B5A" w:rsidP="00953D6F">
      <w:pPr>
        <w:pStyle w:val="Ruller41"/>
        <w:rPr>
          <w:rtl/>
        </w:rPr>
      </w:pPr>
      <w:r>
        <w:rPr>
          <w:rFonts w:hint="cs"/>
          <w:rtl/>
        </w:rPr>
        <w:t>48</w:t>
      </w:r>
      <w:r w:rsidR="00AA280A">
        <w:rPr>
          <w:rFonts w:hint="cs"/>
          <w:rtl/>
        </w:rPr>
        <w:t>.</w:t>
      </w:r>
      <w:r w:rsidR="00AA280A">
        <w:rPr>
          <w:rFonts w:hint="cs"/>
          <w:rtl/>
        </w:rPr>
        <w:tab/>
        <w:t>אם כן, מסקנתי היא כי המערערים הצליחו להצביע על עילת תביעה לכאורית בנסיבות העניין גם ביחס לעסקת שירותי התקשורת</w:t>
      </w:r>
      <w:r w:rsidR="00953D6F">
        <w:rPr>
          <w:rFonts w:hint="cs"/>
          <w:rtl/>
        </w:rPr>
        <w:t>, שמחירה הועלה מבלי לעמוד בדרישות היידוע על-פי החוק</w:t>
      </w:r>
      <w:r w:rsidR="00AA280A">
        <w:rPr>
          <w:rFonts w:hint="cs"/>
          <w:rtl/>
        </w:rPr>
        <w:t>.</w:t>
      </w:r>
    </w:p>
    <w:p w:rsidR="00AA280A" w:rsidRPr="00584C1F" w:rsidRDefault="00AA280A" w:rsidP="00AA280A">
      <w:pPr>
        <w:pStyle w:val="Ruller41"/>
        <w:rPr>
          <w:rFonts w:ascii="Century" w:hAnsi="Century"/>
          <w:rtl/>
        </w:rPr>
      </w:pPr>
    </w:p>
    <w:p w:rsidR="00AA280A" w:rsidRDefault="00722B5A" w:rsidP="00AA280A">
      <w:pPr>
        <w:pStyle w:val="Ruller41"/>
        <w:rPr>
          <w:rtl/>
        </w:rPr>
      </w:pPr>
      <w:r>
        <w:rPr>
          <w:rFonts w:ascii="Century" w:hAnsi="Century" w:hint="cs"/>
          <w:rtl/>
        </w:rPr>
        <w:t>49</w:t>
      </w:r>
      <w:r w:rsidR="00AA280A" w:rsidRPr="00584C1F">
        <w:rPr>
          <w:rFonts w:ascii="Century" w:hAnsi="Century"/>
          <w:rtl/>
        </w:rPr>
        <w:t>.</w:t>
      </w:r>
      <w:r w:rsidR="00AA280A" w:rsidRPr="00584C1F">
        <w:rPr>
          <w:rFonts w:ascii="Century" w:hAnsi="Century"/>
          <w:rtl/>
        </w:rPr>
        <w:tab/>
      </w:r>
      <w:r w:rsidR="00AA280A" w:rsidRPr="00584C1F">
        <w:rPr>
          <w:rFonts w:ascii="Century" w:hAnsi="Century" w:hint="eastAsia"/>
          <w:rtl/>
        </w:rPr>
        <w:t>בהמשך</w:t>
      </w:r>
      <w:r w:rsidR="00AA280A" w:rsidRPr="00584C1F">
        <w:rPr>
          <w:rFonts w:ascii="Century" w:hAnsi="Century"/>
          <w:rtl/>
        </w:rPr>
        <w:t xml:space="preserve"> </w:t>
      </w:r>
      <w:r w:rsidR="00AA280A" w:rsidRPr="00584C1F">
        <w:rPr>
          <w:rFonts w:ascii="Century" w:hAnsi="Century" w:hint="eastAsia"/>
          <w:rtl/>
        </w:rPr>
        <w:t>לכך</w:t>
      </w:r>
      <w:r w:rsidR="00AA280A" w:rsidRPr="00584C1F">
        <w:rPr>
          <w:rFonts w:ascii="Century" w:hAnsi="Century"/>
          <w:rtl/>
        </w:rPr>
        <w:t xml:space="preserve">, ובשים לב לקביעותיו של בית המשפט המחוזי ביחס לעילה שעניינה בעסקת הממירים, </w:t>
      </w:r>
      <w:r w:rsidR="00AA280A" w:rsidRPr="00584C1F">
        <w:rPr>
          <w:rFonts w:ascii="Century" w:hAnsi="Century" w:hint="eastAsia"/>
          <w:rtl/>
        </w:rPr>
        <w:t>אציין</w:t>
      </w:r>
      <w:r w:rsidR="00AA280A" w:rsidRPr="00584C1F">
        <w:rPr>
          <w:rFonts w:ascii="Century" w:hAnsi="Century"/>
          <w:rtl/>
        </w:rPr>
        <w:t xml:space="preserve"> </w:t>
      </w:r>
      <w:r w:rsidR="00AA280A" w:rsidRPr="00584C1F">
        <w:rPr>
          <w:rFonts w:ascii="Century" w:hAnsi="Century" w:hint="eastAsia"/>
          <w:rtl/>
        </w:rPr>
        <w:t>בקצרה</w:t>
      </w:r>
      <w:r w:rsidR="00AA280A" w:rsidRPr="00584C1F">
        <w:rPr>
          <w:rFonts w:ascii="Century" w:hAnsi="Century"/>
          <w:rtl/>
        </w:rPr>
        <w:t xml:space="preserve"> כי </w:t>
      </w:r>
      <w:r w:rsidR="00AA280A" w:rsidRPr="00584C1F">
        <w:rPr>
          <w:rFonts w:ascii="Century" w:hAnsi="Century" w:hint="eastAsia"/>
          <w:rtl/>
        </w:rPr>
        <w:t>מצאתי</w:t>
      </w:r>
      <w:r w:rsidR="00AA280A" w:rsidRPr="00584C1F">
        <w:rPr>
          <w:rFonts w:ascii="Century" w:hAnsi="Century"/>
          <w:rtl/>
        </w:rPr>
        <w:t xml:space="preserve"> </w:t>
      </w:r>
      <w:r w:rsidR="00AA280A" w:rsidRPr="00584C1F">
        <w:rPr>
          <w:rFonts w:ascii="Century" w:hAnsi="Century" w:hint="eastAsia"/>
          <w:rtl/>
        </w:rPr>
        <w:t>לקבוע</w:t>
      </w:r>
      <w:r w:rsidR="00AA280A" w:rsidRPr="00584C1F">
        <w:rPr>
          <w:rFonts w:ascii="Century" w:hAnsi="Century"/>
          <w:rtl/>
        </w:rPr>
        <w:t xml:space="preserve"> </w:t>
      </w:r>
      <w:r w:rsidR="00AA280A" w:rsidRPr="00584C1F">
        <w:rPr>
          <w:rFonts w:ascii="Century" w:hAnsi="Century" w:hint="eastAsia"/>
          <w:rtl/>
        </w:rPr>
        <w:t>שהתקיימו</w:t>
      </w:r>
      <w:r w:rsidR="00AA280A" w:rsidRPr="00584C1F">
        <w:rPr>
          <w:rFonts w:ascii="Century" w:hAnsi="Century"/>
          <w:rtl/>
        </w:rPr>
        <w:t xml:space="preserve"> גם יתר תנאים לאישורה של התובענה כייצוגית בהתאם לסעיף 8 </w:t>
      </w:r>
      <w:r w:rsidR="00AA280A" w:rsidRPr="00584C1F">
        <w:rPr>
          <w:rFonts w:ascii="Century" w:hAnsi="Century" w:hint="eastAsia"/>
          <w:rtl/>
        </w:rPr>
        <w:t>לחוק</w:t>
      </w:r>
      <w:r w:rsidR="00AA280A" w:rsidRPr="00584C1F">
        <w:rPr>
          <w:rFonts w:ascii="Century" w:hAnsi="Century"/>
          <w:rtl/>
        </w:rPr>
        <w:t xml:space="preserve"> </w:t>
      </w:r>
      <w:r w:rsidR="00AA280A" w:rsidRPr="00584C1F">
        <w:rPr>
          <w:rFonts w:ascii="Century" w:hAnsi="Century" w:hint="eastAsia"/>
          <w:rtl/>
        </w:rPr>
        <w:t>תובענות</w:t>
      </w:r>
      <w:r w:rsidR="00AA280A" w:rsidRPr="00584C1F">
        <w:rPr>
          <w:rFonts w:ascii="Century" w:hAnsi="Century"/>
          <w:rtl/>
        </w:rPr>
        <w:t xml:space="preserve"> </w:t>
      </w:r>
      <w:r w:rsidR="00AA280A" w:rsidRPr="00584C1F">
        <w:rPr>
          <w:rFonts w:ascii="Century" w:hAnsi="Century" w:hint="eastAsia"/>
          <w:rtl/>
        </w:rPr>
        <w:t>ייצוגיות</w:t>
      </w:r>
      <w:r w:rsidR="00AA280A" w:rsidRPr="00584C1F">
        <w:rPr>
          <w:rFonts w:ascii="Century" w:hAnsi="Century"/>
          <w:rtl/>
        </w:rPr>
        <w:t xml:space="preserve">. </w:t>
      </w:r>
      <w:r w:rsidR="00AA280A" w:rsidRPr="00584C1F">
        <w:rPr>
          <w:rFonts w:ascii="Century" w:hAnsi="Century" w:hint="eastAsia"/>
          <w:rtl/>
        </w:rPr>
        <w:t>לצד</w:t>
      </w:r>
      <w:r w:rsidR="00AA280A" w:rsidRPr="00584C1F">
        <w:rPr>
          <w:rFonts w:ascii="Century" w:hAnsi="Century"/>
          <w:rtl/>
        </w:rPr>
        <w:t xml:space="preserve"> זאת, </w:t>
      </w:r>
      <w:r w:rsidR="00AA280A" w:rsidRPr="00584C1F">
        <w:rPr>
          <w:rFonts w:ascii="Century" w:hAnsi="Century"/>
          <w:rtl/>
        </w:rPr>
        <w:lastRenderedPageBreak/>
        <w:t xml:space="preserve">ובשים לב לטענות </w:t>
      </w:r>
      <w:r w:rsidR="00AA280A" w:rsidRPr="00584C1F">
        <w:rPr>
          <w:rFonts w:ascii="Century" w:hAnsi="Century" w:hint="eastAsia"/>
          <w:rtl/>
        </w:rPr>
        <w:t>שהועלו</w:t>
      </w:r>
      <w:r w:rsidR="00AA280A" w:rsidRPr="00584C1F">
        <w:rPr>
          <w:rFonts w:ascii="Century" w:hAnsi="Century"/>
          <w:rtl/>
        </w:rPr>
        <w:t xml:space="preserve"> בעניין, אוסיף כי לא </w:t>
      </w:r>
      <w:r w:rsidR="00AA280A">
        <w:rPr>
          <w:rFonts w:ascii="Century" w:hAnsi="Century" w:hint="cs"/>
          <w:rtl/>
        </w:rPr>
        <w:t>ראיתי</w:t>
      </w:r>
      <w:r w:rsidR="00AA280A" w:rsidRPr="00584C1F">
        <w:rPr>
          <w:rFonts w:ascii="Century" w:hAnsi="Century"/>
          <w:rtl/>
        </w:rPr>
        <w:t xml:space="preserve"> לקבל את עמדת סלקום </w:t>
      </w:r>
      <w:r w:rsidR="00AA280A" w:rsidRPr="00D60967">
        <w:rPr>
          <w:rFonts w:ascii="Century" w:hAnsi="Century" w:hint="cs"/>
          <w:rtl/>
        </w:rPr>
        <w:t xml:space="preserve">לפיה </w:t>
      </w:r>
      <w:r w:rsidR="00AA280A" w:rsidRPr="00584C1F">
        <w:rPr>
          <w:rFonts w:ascii="Century" w:hAnsi="Century" w:hint="eastAsia"/>
          <w:rtl/>
        </w:rPr>
        <w:t>בנסיבות</w:t>
      </w:r>
      <w:r w:rsidR="00AA280A" w:rsidRPr="00584C1F">
        <w:rPr>
          <w:rFonts w:ascii="Century" w:hAnsi="Century"/>
          <w:rtl/>
        </w:rPr>
        <w:t xml:space="preserve"> </w:t>
      </w:r>
      <w:r w:rsidR="00AA280A" w:rsidRPr="00584C1F">
        <w:rPr>
          <w:rFonts w:ascii="Century" w:hAnsi="Century" w:hint="eastAsia"/>
          <w:rtl/>
        </w:rPr>
        <w:t>העניין</w:t>
      </w:r>
      <w:r w:rsidR="00AA280A" w:rsidRPr="00584C1F">
        <w:rPr>
          <w:rFonts w:ascii="Century" w:hAnsi="Century"/>
          <w:rtl/>
        </w:rPr>
        <w:t xml:space="preserve"> </w:t>
      </w:r>
      <w:r w:rsidR="00AA280A" w:rsidRPr="00584C1F">
        <w:rPr>
          <w:rFonts w:ascii="Century" w:hAnsi="Century" w:hint="eastAsia"/>
          <w:rtl/>
        </w:rPr>
        <w:t>ת</w:t>
      </w:r>
      <w:r w:rsidR="00AA280A" w:rsidRPr="00584C1F">
        <w:rPr>
          <w:rFonts w:ascii="Century" w:hAnsi="Century"/>
          <w:shd w:val="clear" w:color="auto" w:fill="FFFFFF"/>
          <w:rtl/>
        </w:rPr>
        <w:t xml:space="preserve">ובענה ייצוגית אינה הדרך היעילה וההוגנת להכרעה במחלוקת </w:t>
      </w:r>
      <w:r w:rsidR="00AA280A" w:rsidRPr="00D60967">
        <w:rPr>
          <w:rFonts w:ascii="Century" w:hAnsi="Century" w:hint="cs"/>
          <w:shd w:val="clear" w:color="auto" w:fill="FFFFFF"/>
          <w:rtl/>
        </w:rPr>
        <w:t>וכי יש מקום להחיל את הפרשנות שע</w:t>
      </w:r>
      <w:r w:rsidR="00AA280A">
        <w:rPr>
          <w:rFonts w:ascii="Century" w:hAnsi="Century" w:hint="cs"/>
          <w:shd w:val="clear" w:color="auto" w:fill="FFFFFF"/>
          <w:rtl/>
        </w:rPr>
        <w:t>ו</w:t>
      </w:r>
      <w:r w:rsidR="00AA280A" w:rsidRPr="00D60967">
        <w:rPr>
          <w:rFonts w:ascii="Century" w:hAnsi="Century" w:hint="cs"/>
          <w:shd w:val="clear" w:color="auto" w:fill="FFFFFF"/>
          <w:rtl/>
        </w:rPr>
        <w:t>לה מפסק דיננו זה אך באופן פרוספ</w:t>
      </w:r>
      <w:r w:rsidR="00AA280A">
        <w:rPr>
          <w:rFonts w:ascii="Century" w:hAnsi="Century" w:hint="cs"/>
          <w:shd w:val="clear" w:color="auto" w:fill="FFFFFF"/>
          <w:rtl/>
        </w:rPr>
        <w:t>קטיבי. לא אחת, מוגשות תובענות ייצוגיות שהדיון בהן מבהיר ומחדד את דרישות הדין. אין בכך בלבד כדי להוציא מכלל פעולה את דיני התובענות הייצוגיות. עוד אעיר</w:t>
      </w:r>
      <w:r w:rsidR="00AA280A" w:rsidRPr="00584C1F">
        <w:rPr>
          <w:rFonts w:ascii="Century" w:hAnsi="Century"/>
          <w:shd w:val="clear" w:color="auto" w:fill="FFFFFF"/>
          <w:rtl/>
        </w:rPr>
        <w:t xml:space="preserve"> </w:t>
      </w:r>
      <w:r w:rsidR="00AA280A">
        <w:rPr>
          <w:rFonts w:ascii="Century" w:hAnsi="Century" w:hint="cs"/>
          <w:shd w:val="clear" w:color="auto" w:fill="FFFFFF"/>
          <w:rtl/>
        </w:rPr>
        <w:t xml:space="preserve">בעניין זה </w:t>
      </w:r>
      <w:r w:rsidR="00AA280A" w:rsidRPr="00584C1F">
        <w:rPr>
          <w:rFonts w:ascii="Century" w:hAnsi="Century" w:hint="eastAsia"/>
          <w:shd w:val="clear" w:color="auto" w:fill="FFFFFF"/>
          <w:rtl/>
        </w:rPr>
        <w:t>כי</w:t>
      </w:r>
      <w:r w:rsidR="00AA280A" w:rsidRPr="00584C1F">
        <w:rPr>
          <w:rFonts w:ascii="Century" w:hAnsi="Century"/>
          <w:shd w:val="clear" w:color="auto" w:fill="FFFFFF"/>
          <w:rtl/>
        </w:rPr>
        <w:t xml:space="preserve"> </w:t>
      </w:r>
      <w:r w:rsidR="00AA280A" w:rsidRPr="00584C1F">
        <w:rPr>
          <w:rFonts w:ascii="Century" w:hAnsi="Century" w:hint="eastAsia"/>
          <w:rtl/>
        </w:rPr>
        <w:t>טענותיה</w:t>
      </w:r>
      <w:r w:rsidR="00AA280A" w:rsidRPr="00584C1F">
        <w:rPr>
          <w:rFonts w:ascii="Century" w:hAnsi="Century"/>
          <w:rtl/>
        </w:rPr>
        <w:t xml:space="preserve"> של סלקום לעניין </w:t>
      </w:r>
      <w:r w:rsidR="00AA280A" w:rsidRPr="00584C1F">
        <w:rPr>
          <w:rFonts w:ascii="Century" w:hAnsi="Century" w:hint="eastAsia"/>
          <w:rtl/>
        </w:rPr>
        <w:t>המשמעויות</w:t>
      </w:r>
      <w:r w:rsidR="00AA280A" w:rsidRPr="00584C1F">
        <w:rPr>
          <w:rFonts w:ascii="Century" w:hAnsi="Century"/>
          <w:rtl/>
        </w:rPr>
        <w:t xml:space="preserve"> כבדות המשקל העלולות להתלוות להחלתה </w:t>
      </w:r>
      <w:proofErr w:type="spellStart"/>
      <w:r w:rsidR="00AA280A" w:rsidRPr="00584C1F">
        <w:rPr>
          <w:rFonts w:ascii="Century" w:hAnsi="Century" w:hint="eastAsia"/>
          <w:rtl/>
        </w:rPr>
        <w:t>המיידית</w:t>
      </w:r>
      <w:proofErr w:type="spellEnd"/>
      <w:r w:rsidR="00AA280A" w:rsidRPr="00584C1F">
        <w:rPr>
          <w:rFonts w:ascii="Century" w:hAnsi="Century"/>
          <w:rtl/>
        </w:rPr>
        <w:t xml:space="preserve"> של ההלכה דנן נטענו </w:t>
      </w:r>
      <w:r w:rsidR="00AA280A" w:rsidRPr="00584C1F">
        <w:rPr>
          <w:rFonts w:ascii="Century" w:hAnsi="Century" w:hint="eastAsia"/>
          <w:rtl/>
        </w:rPr>
        <w:t>בכלליות</w:t>
      </w:r>
      <w:r w:rsidR="00AA280A" w:rsidRPr="00584C1F">
        <w:rPr>
          <w:rFonts w:ascii="Century" w:hAnsi="Century"/>
          <w:rtl/>
        </w:rPr>
        <w:t xml:space="preserve"> </w:t>
      </w:r>
      <w:r w:rsidR="00AA280A">
        <w:rPr>
          <w:rFonts w:ascii="Century" w:hAnsi="Century" w:hint="cs"/>
          <w:rtl/>
        </w:rPr>
        <w:t xml:space="preserve">יתרה. </w:t>
      </w:r>
      <w:r w:rsidR="00AA280A">
        <w:rPr>
          <w:rFonts w:hint="cs"/>
          <w:rtl/>
        </w:rPr>
        <w:t xml:space="preserve">אשר על כן, אני סבורה כאמור כי דין הערעור להתקבל, במובן זה שהבקשה לאישור תובענה ייצוגית תתקבל על שני ראשיה. </w:t>
      </w:r>
    </w:p>
    <w:p w:rsidR="00AA280A" w:rsidRDefault="00AA280A" w:rsidP="00AA280A">
      <w:pPr>
        <w:pStyle w:val="Ruller41"/>
        <w:rPr>
          <w:rtl/>
        </w:rPr>
      </w:pPr>
    </w:p>
    <w:p w:rsidR="00B03982" w:rsidRDefault="00722B5A" w:rsidP="00B03982">
      <w:pPr>
        <w:pStyle w:val="Ruller41"/>
        <w:rPr>
          <w:rtl/>
        </w:rPr>
      </w:pPr>
      <w:r>
        <w:rPr>
          <w:rFonts w:hint="cs"/>
          <w:rtl/>
        </w:rPr>
        <w:t>50</w:t>
      </w:r>
      <w:r w:rsidR="00AA280A">
        <w:rPr>
          <w:rFonts w:hint="cs"/>
          <w:rtl/>
        </w:rPr>
        <w:t xml:space="preserve">. </w:t>
      </w:r>
      <w:r w:rsidR="00AA280A">
        <w:rPr>
          <w:rFonts w:hint="cs"/>
          <w:rtl/>
        </w:rPr>
        <w:tab/>
        <w:t>סוף דבר: הערעור מתקבל.</w:t>
      </w:r>
      <w:r w:rsidR="00AA280A">
        <w:rPr>
          <w:rFonts w:ascii="FrankRuehl" w:hAnsi="FrankRuehl" w:hint="cs"/>
          <w:caps/>
          <w:color w:val="000000"/>
          <w:sz w:val="28"/>
          <w:rtl/>
        </w:rPr>
        <w:t xml:space="preserve"> בנסיבות העניין, </w:t>
      </w:r>
      <w:r w:rsidR="00AA280A">
        <w:rPr>
          <w:rFonts w:hint="cs"/>
          <w:rtl/>
        </w:rPr>
        <w:t>סלקום תישא בהוצאות המערערים בסך של 50,000 שקלים.</w:t>
      </w:r>
    </w:p>
    <w:p w:rsidR="00B03982" w:rsidRDefault="00B03982" w:rsidP="00B03982">
      <w:pPr>
        <w:pStyle w:val="Ruller41"/>
        <w:rPr>
          <w:rtl/>
        </w:rPr>
      </w:pPr>
    </w:p>
    <w:p w:rsidR="00B03982" w:rsidRDefault="00B03982" w:rsidP="00B03982">
      <w:pPr>
        <w:pStyle w:val="Ruller41"/>
        <w:rPr>
          <w:rtl/>
        </w:rPr>
      </w:pPr>
    </w:p>
    <w:tbl>
      <w:tblPr>
        <w:bidiVisual/>
        <w:tblW w:w="8363" w:type="dxa"/>
        <w:tblLook w:val="01E0" w:firstRow="1" w:lastRow="1" w:firstColumn="1" w:lastColumn="1" w:noHBand="0" w:noVBand="0"/>
      </w:tblPr>
      <w:tblGrid>
        <w:gridCol w:w="2786"/>
        <w:gridCol w:w="2787"/>
        <w:gridCol w:w="2790"/>
      </w:tblGrid>
      <w:tr w:rsidR="00B03982" w:rsidTr="00F55D0B">
        <w:tc>
          <w:tcPr>
            <w:tcW w:w="2842" w:type="dxa"/>
            <w:shd w:val="clear" w:color="auto" w:fill="auto"/>
          </w:tcPr>
          <w:p w:rsidR="00B03982" w:rsidRDefault="00B03982" w:rsidP="00F55D0B">
            <w:pPr>
              <w:pStyle w:val="Ruller41"/>
              <w:ind w:left="720"/>
              <w:rPr>
                <w:rtl/>
              </w:rPr>
            </w:pPr>
          </w:p>
        </w:tc>
        <w:tc>
          <w:tcPr>
            <w:tcW w:w="2843" w:type="dxa"/>
            <w:shd w:val="clear" w:color="auto" w:fill="auto"/>
          </w:tcPr>
          <w:p w:rsidR="00B03982" w:rsidRDefault="00B03982" w:rsidP="00F55D0B">
            <w:pPr>
              <w:pStyle w:val="Ruller41"/>
              <w:jc w:val="center"/>
              <w:rPr>
                <w:rtl/>
              </w:rPr>
            </w:pPr>
          </w:p>
        </w:tc>
        <w:tc>
          <w:tcPr>
            <w:tcW w:w="2843" w:type="dxa"/>
            <w:shd w:val="clear" w:color="auto" w:fill="auto"/>
          </w:tcPr>
          <w:p w:rsidR="00B03982" w:rsidRDefault="00B03982" w:rsidP="00F55D0B">
            <w:pPr>
              <w:pStyle w:val="Ruller41"/>
              <w:jc w:val="right"/>
              <w:rPr>
                <w:rtl/>
              </w:rPr>
            </w:pPr>
            <w:r>
              <w:rPr>
                <w:rtl/>
              </w:rPr>
              <w:t>ש ו פ ט</w:t>
            </w:r>
            <w:r>
              <w:rPr>
                <w:rFonts w:hint="cs"/>
                <w:rtl/>
              </w:rPr>
              <w:t xml:space="preserve"> ת</w:t>
            </w:r>
          </w:p>
        </w:tc>
      </w:tr>
    </w:tbl>
    <w:p w:rsidR="00B03982" w:rsidRDefault="00B03982" w:rsidP="00AA280A">
      <w:pPr>
        <w:pStyle w:val="Ruller41"/>
        <w:rPr>
          <w:rtl/>
        </w:rPr>
      </w:pPr>
    </w:p>
    <w:p w:rsidR="00B03982" w:rsidRDefault="00B03982" w:rsidP="00AA280A">
      <w:pPr>
        <w:pStyle w:val="Ruller41"/>
        <w:rPr>
          <w:rtl/>
        </w:rPr>
      </w:pPr>
    </w:p>
    <w:p w:rsidR="00B03982" w:rsidRDefault="00B03982" w:rsidP="00B03982">
      <w:pPr>
        <w:pStyle w:val="Ruller41"/>
        <w:rPr>
          <w:rtl/>
        </w:rPr>
      </w:pPr>
      <w:r>
        <w:rPr>
          <w:rFonts w:cs="Miriam"/>
          <w:sz w:val="24"/>
          <w:szCs w:val="24"/>
          <w:u w:val="single"/>
          <w:rtl/>
        </w:rPr>
        <w:t xml:space="preserve">השופט </w:t>
      </w:r>
      <w:r>
        <w:rPr>
          <w:rFonts w:cs="Miriam" w:hint="cs"/>
          <w:sz w:val="24"/>
          <w:szCs w:val="24"/>
          <w:u w:val="single"/>
          <w:rtl/>
        </w:rPr>
        <w:t>ע</w:t>
      </w:r>
      <w:r>
        <w:rPr>
          <w:rFonts w:cs="Miriam"/>
          <w:sz w:val="24"/>
          <w:szCs w:val="24"/>
          <w:u w:val="single"/>
          <w:rtl/>
        </w:rPr>
        <w:t xml:space="preserve">' </w:t>
      </w:r>
      <w:r>
        <w:rPr>
          <w:rFonts w:cs="Miriam" w:hint="cs"/>
          <w:sz w:val="24"/>
          <w:szCs w:val="24"/>
          <w:u w:val="single"/>
          <w:rtl/>
        </w:rPr>
        <w:t>גרוסקופף</w:t>
      </w:r>
      <w:r w:rsidRPr="006B4623">
        <w:rPr>
          <w:rFonts w:cs="Miriam" w:hint="cs"/>
          <w:sz w:val="24"/>
          <w:szCs w:val="24"/>
          <w:rtl/>
        </w:rPr>
        <w:t>:</w:t>
      </w:r>
    </w:p>
    <w:p w:rsidR="00B03982" w:rsidRDefault="00B03982" w:rsidP="00AA280A">
      <w:pPr>
        <w:pStyle w:val="Ruller41"/>
        <w:rPr>
          <w:rtl/>
        </w:rPr>
      </w:pPr>
    </w:p>
    <w:p w:rsidR="006B4623" w:rsidRDefault="006B4623" w:rsidP="00D76B85">
      <w:pPr>
        <w:pStyle w:val="Ruller41"/>
        <w:rPr>
          <w:rtl/>
        </w:rPr>
      </w:pPr>
      <w:r>
        <w:rPr>
          <w:rtl/>
        </w:rPr>
        <w:tab/>
      </w:r>
      <w:r>
        <w:rPr>
          <w:rFonts w:hint="cs"/>
          <w:rtl/>
        </w:rPr>
        <w:t xml:space="preserve">אני מסכים לתוצאה אליה הגיעה חברתי, </w:t>
      </w:r>
      <w:r w:rsidRPr="00FA1677">
        <w:rPr>
          <w:rFonts w:ascii="Century" w:hAnsi="Century" w:hint="cs"/>
          <w:rtl/>
        </w:rPr>
        <w:t>השופטת</w:t>
      </w:r>
      <w:r w:rsidRPr="00FA1677">
        <w:rPr>
          <w:rFonts w:ascii="Century" w:hAnsi="Century" w:cs="Miriam" w:hint="cs"/>
          <w:b/>
          <w:spacing w:val="0"/>
          <w:szCs w:val="24"/>
          <w:rtl/>
        </w:rPr>
        <w:t xml:space="preserve"> דפנה ברק</w:t>
      </w:r>
      <w:r w:rsidR="00D76B85">
        <w:rPr>
          <w:rFonts w:ascii="Century" w:hAnsi="Century" w:cs="Miriam" w:hint="cs"/>
          <w:b/>
          <w:spacing w:val="0"/>
          <w:szCs w:val="24"/>
          <w:rtl/>
        </w:rPr>
        <w:t>-</w:t>
      </w:r>
      <w:r w:rsidRPr="00FA1677">
        <w:rPr>
          <w:rFonts w:ascii="Century" w:hAnsi="Century" w:cs="Miriam" w:hint="cs"/>
          <w:b/>
          <w:spacing w:val="0"/>
          <w:szCs w:val="24"/>
          <w:rtl/>
        </w:rPr>
        <w:t>ארז</w:t>
      </w:r>
      <w:r>
        <w:rPr>
          <w:rFonts w:hint="cs"/>
          <w:rtl/>
        </w:rPr>
        <w:t xml:space="preserve">, ולנימוקיה. אוסיף הערות קצרות לדבריה הנכוחים. </w:t>
      </w:r>
    </w:p>
    <w:p w:rsidR="006B4623" w:rsidRDefault="006B4623" w:rsidP="006B4623">
      <w:pPr>
        <w:pStyle w:val="Ruller41"/>
        <w:rPr>
          <w:rtl/>
        </w:rPr>
      </w:pPr>
    </w:p>
    <w:p w:rsidR="006B4623" w:rsidRDefault="006B4623" w:rsidP="006B4623">
      <w:pPr>
        <w:pStyle w:val="Ruller41"/>
        <w:rPr>
          <w:rtl/>
        </w:rPr>
      </w:pPr>
      <w:r>
        <w:rPr>
          <w:rFonts w:hint="cs"/>
          <w:rtl/>
        </w:rPr>
        <w:t xml:space="preserve">1. </w:t>
      </w:r>
      <w:r>
        <w:rPr>
          <w:rtl/>
        </w:rPr>
        <w:tab/>
      </w:r>
      <w:r>
        <w:rPr>
          <w:rFonts w:hint="cs"/>
          <w:rtl/>
        </w:rPr>
        <w:t xml:space="preserve">עסקינן בלקוחות שהתקשרו עם סלקום בהסכם לרכישת שירותי תקשורת שונים ("סלקום </w:t>
      </w:r>
      <w:proofErr w:type="spellStart"/>
      <w:r>
        <w:rPr>
          <w:rFonts w:hint="cs"/>
          <w:rtl/>
        </w:rPr>
        <w:t>טריפל</w:t>
      </w:r>
      <w:proofErr w:type="spellEnd"/>
      <w:r>
        <w:rPr>
          <w:rFonts w:hint="cs"/>
          <w:rtl/>
        </w:rPr>
        <w:t xml:space="preserve">"), ואשר במשך 12 החודשים הראשונים שלאחר ההצטרפות (להלן: </w:t>
      </w:r>
      <w:r w:rsidRPr="00A656A2">
        <w:rPr>
          <w:rFonts w:ascii="Century" w:hAnsi="Century" w:cs="Miriam" w:hint="cs"/>
          <w:b/>
          <w:spacing w:val="0"/>
          <w:szCs w:val="24"/>
          <w:rtl/>
        </w:rPr>
        <w:t>שנת ההצטרפות</w:t>
      </w:r>
      <w:r>
        <w:rPr>
          <w:rFonts w:hint="cs"/>
          <w:rtl/>
        </w:rPr>
        <w:t xml:space="preserve">) זכו להטבות, שהמרכזית בהן היא הנחה במחיר השירות (149 ש"ח במקום 169 ש"ח. להלן: </w:t>
      </w:r>
      <w:r w:rsidRPr="007C00BC">
        <w:rPr>
          <w:rFonts w:ascii="Century" w:hAnsi="Century" w:cs="Miriam" w:hint="cs"/>
          <w:b/>
          <w:spacing w:val="0"/>
          <w:szCs w:val="24"/>
          <w:rtl/>
        </w:rPr>
        <w:t>הנחת המחיר</w:t>
      </w:r>
      <w:r>
        <w:rPr>
          <w:rFonts w:hint="cs"/>
          <w:rtl/>
        </w:rPr>
        <w:t xml:space="preserve">). כתוצאה מהטבות אלה נוצר פער של ממש בין המחיר שנדרש הלקוח לשלם בשנת ההצטרפות, לבין המחיר בו חויב בהמשך השנים. אין חולק כי על פי חוק הגנת הצרכן מחויבת סלקום למסור ללקוח שכזה הודעה בדבר סיום תקופת </w:t>
      </w:r>
      <w:r w:rsidRPr="00076DB4">
        <w:rPr>
          <w:rFonts w:hint="cs"/>
          <w:rtl/>
        </w:rPr>
        <w:t xml:space="preserve">ההטבה 60-30 יום לפני תום התקופה (דהיינו חודש-חודשיים לפני תום שנת ההצטרפות) (סעיף 13א(ב) לחוק. להלן: </w:t>
      </w:r>
      <w:r w:rsidRPr="00076DB4">
        <w:rPr>
          <w:rFonts w:ascii="Century" w:hAnsi="Century" w:cs="Miriam" w:hint="cs"/>
          <w:b/>
          <w:spacing w:val="0"/>
          <w:szCs w:val="24"/>
          <w:rtl/>
        </w:rPr>
        <w:t xml:space="preserve">הודעת סיום הטבה </w:t>
      </w:r>
      <w:r w:rsidRPr="00076DB4">
        <w:rPr>
          <w:rFonts w:ascii="Century" w:hAnsi="Century" w:hint="cs"/>
          <w:rtl/>
        </w:rPr>
        <w:t>ו-</w:t>
      </w:r>
      <w:r w:rsidRPr="00076DB4">
        <w:rPr>
          <w:rFonts w:ascii="Century" w:hAnsi="Century" w:cs="Miriam" w:hint="cs"/>
          <w:b/>
          <w:spacing w:val="0"/>
          <w:szCs w:val="24"/>
          <w:rtl/>
        </w:rPr>
        <w:t>תקופת ההודעה</w:t>
      </w:r>
      <w:r>
        <w:rPr>
          <w:rFonts w:ascii="Century" w:hAnsi="Century" w:cs="Miriam" w:hint="cs"/>
          <w:b/>
          <w:spacing w:val="0"/>
          <w:szCs w:val="24"/>
          <w:rtl/>
        </w:rPr>
        <w:t>,</w:t>
      </w:r>
      <w:r w:rsidRPr="00076DB4">
        <w:rPr>
          <w:rFonts w:ascii="Century" w:hAnsi="Century" w:cs="Miriam" w:hint="cs"/>
          <w:b/>
          <w:spacing w:val="0"/>
          <w:szCs w:val="24"/>
          <w:rtl/>
        </w:rPr>
        <w:t xml:space="preserve"> </w:t>
      </w:r>
      <w:r w:rsidRPr="00076DB4">
        <w:rPr>
          <w:rFonts w:ascii="Century" w:hAnsi="Century" w:hint="cs"/>
          <w:rtl/>
        </w:rPr>
        <w:t>בהתאמה</w:t>
      </w:r>
      <w:r w:rsidRPr="00076DB4">
        <w:rPr>
          <w:rFonts w:hint="cs"/>
          <w:rtl/>
        </w:rPr>
        <w:t>). ככל שלא נמסרה הודעת סיום הטבה</w:t>
      </w:r>
      <w:r>
        <w:rPr>
          <w:rFonts w:hint="cs"/>
          <w:rtl/>
        </w:rPr>
        <w:t xml:space="preserve"> בכתב, הרי שההתקשרות בין סלקום ללקוח מגיעה לסיומה בכללותה בתום תקופת המבצע, ובענייננו </w:t>
      </w:r>
      <w:r w:rsidRPr="00101D59">
        <w:rPr>
          <w:rFonts w:hint="cs"/>
          <w:rtl/>
        </w:rPr>
        <w:t>בתום שנת ההצטרפות, ואין תוקף להסכם הקובע כי היא נמשכת בתנאים כאלה או אחרים גם לאחר מכן (כך, לאור סעיף 13א(ג)(1) לחוק, ואי תחולת החריגים לכלל זה הקבועים בסעיף 13א(ד) לחוק). עד כאן הוראות החוק ברורות, וספק אם פרשנותן יכולה להיות שנויה במחלוקת.</w:t>
      </w:r>
    </w:p>
    <w:p w:rsidR="006B4623" w:rsidRDefault="006B4623" w:rsidP="006B4623">
      <w:pPr>
        <w:pStyle w:val="Ruller41"/>
        <w:rPr>
          <w:rtl/>
        </w:rPr>
      </w:pPr>
    </w:p>
    <w:p w:rsidR="006B4623" w:rsidRDefault="006B4623" w:rsidP="006B4623">
      <w:pPr>
        <w:pStyle w:val="Ruller41"/>
        <w:rPr>
          <w:rtl/>
        </w:rPr>
      </w:pPr>
      <w:r>
        <w:rPr>
          <w:rFonts w:hint="cs"/>
          <w:rtl/>
        </w:rPr>
        <w:t xml:space="preserve">2. </w:t>
      </w:r>
      <w:r>
        <w:rPr>
          <w:rtl/>
        </w:rPr>
        <w:tab/>
      </w:r>
      <w:r>
        <w:rPr>
          <w:rFonts w:hint="cs"/>
          <w:rtl/>
        </w:rPr>
        <w:t xml:space="preserve">הקושי הפרשני בענייננו נוצר כתוצאה מכך שעל פי החוק נדרשה סלקום לציין את המועד לסיום תקופת ההטבה </w:t>
      </w:r>
      <w:r w:rsidRPr="007C00BC">
        <w:rPr>
          <w:rFonts w:ascii="Century" w:hAnsi="Century" w:cs="Miriam" w:hint="cs"/>
          <w:b/>
          <w:spacing w:val="0"/>
          <w:szCs w:val="24"/>
          <w:rtl/>
        </w:rPr>
        <w:t>גם</w:t>
      </w:r>
      <w:r w:rsidRPr="007C00BC">
        <w:rPr>
          <w:rFonts w:hint="cs"/>
          <w:rtl/>
        </w:rPr>
        <w:t xml:space="preserve"> </w:t>
      </w:r>
      <w:r>
        <w:rPr>
          <w:rFonts w:hint="cs"/>
          <w:rtl/>
        </w:rPr>
        <w:t xml:space="preserve">בכל אחד מאלה: החוזה, החשבוניות שנשלחו ללקוח בשלושת החודשים האחרונים לפני סיום המבצע, ובמסרון שנשלח 21 יום לפני סיום המבצע (סעיף 13א(ב) לחוק. להלן: </w:t>
      </w:r>
      <w:r w:rsidRPr="007C00BC">
        <w:rPr>
          <w:rFonts w:ascii="Century" w:hAnsi="Century" w:cs="Miriam" w:hint="cs"/>
          <w:b/>
          <w:spacing w:val="0"/>
          <w:szCs w:val="24"/>
          <w:rtl/>
        </w:rPr>
        <w:t>דריש</w:t>
      </w:r>
      <w:r>
        <w:rPr>
          <w:rFonts w:ascii="Century" w:hAnsi="Century" w:cs="Miriam" w:hint="cs"/>
          <w:b/>
          <w:spacing w:val="0"/>
          <w:szCs w:val="24"/>
          <w:rtl/>
        </w:rPr>
        <w:t>ו</w:t>
      </w:r>
      <w:r w:rsidRPr="007C00BC">
        <w:rPr>
          <w:rFonts w:ascii="Century" w:hAnsi="Century" w:cs="Miriam" w:hint="cs"/>
          <w:b/>
          <w:spacing w:val="0"/>
          <w:szCs w:val="24"/>
          <w:rtl/>
        </w:rPr>
        <w:t>ת היידוע הנוסף</w:t>
      </w:r>
      <w:r>
        <w:rPr>
          <w:rFonts w:hint="cs"/>
          <w:rtl/>
        </w:rPr>
        <w:t xml:space="preserve">). סלקום עשתה כן, ביחס להנחת המחיר, אך לא ביחס להטבה של ממיר נוסף (שלטענתה היא הטבה שניתנה על בסיס פרטני, ולא לכל המצטרפים). סלקום סבורה כי משעמדה בדרישות היידוע הנוסף, אין לומר כי לא מסרה הודעת סיום הטבה, ועל כן פעלה כדין לעניין הנחת המחיר. </w:t>
      </w:r>
    </w:p>
    <w:p w:rsidR="006B4623" w:rsidRDefault="006B4623" w:rsidP="006B4623">
      <w:pPr>
        <w:pStyle w:val="Ruller41"/>
        <w:rPr>
          <w:rtl/>
        </w:rPr>
      </w:pPr>
    </w:p>
    <w:p w:rsidR="006B4623" w:rsidRDefault="006B4623" w:rsidP="006B4623">
      <w:pPr>
        <w:pStyle w:val="Ruller41"/>
        <w:rPr>
          <w:rtl/>
        </w:rPr>
      </w:pPr>
      <w:r>
        <w:rPr>
          <w:rFonts w:hint="cs"/>
          <w:rtl/>
        </w:rPr>
        <w:t xml:space="preserve">3. </w:t>
      </w:r>
      <w:r>
        <w:rPr>
          <w:rtl/>
        </w:rPr>
        <w:tab/>
      </w:r>
      <w:r>
        <w:rPr>
          <w:rFonts w:hint="cs"/>
          <w:rtl/>
        </w:rPr>
        <w:t xml:space="preserve">כחברתי, אינני סבור כי ניתן לקבל את טיעונה של סלקום בעניין זה. דרישות היידוע הנוסף כוללת שלושה מרכיבים, </w:t>
      </w:r>
      <w:r w:rsidR="00D76B85">
        <w:rPr>
          <w:rFonts w:hint="cs"/>
          <w:rtl/>
        </w:rPr>
        <w:t>ש</w:t>
      </w:r>
      <w:r>
        <w:rPr>
          <w:rFonts w:hint="cs"/>
          <w:rtl/>
        </w:rPr>
        <w:t>שניים מהם, החוזה והמסרון, אינם יכולים כלל להוות הודעת סיום הטבה, מאחר שהעיתוי בו נמסרו אינו הולם את דרישות החוק (החוזה נכרת קודם לתקופה למסירת הודעת סיום הטבה; המסרון נשלח לאחר התקופה למסירת הודעת סיום הטבה). דרך היידוע השלישית, יכולה כעניין עובדתי להינתן גם בתקופת ההודעה, וכך אירע בענייננו (אין חולק שסלקום שלחה חשבונית גם במהלך 60-30 הימים שלפני תום שנת ההצטרפות). עם זאת, אין מדובר בהודעת סיום הטבה מהסוג אליו כיוון המחוקק, אלא באמצעי יידוע נוסף שאין די בו כדי לעמוד בהוראות החוק.</w:t>
      </w:r>
    </w:p>
    <w:p w:rsidR="006B4623" w:rsidRDefault="006B4623" w:rsidP="006B4623">
      <w:pPr>
        <w:pStyle w:val="Ruller41"/>
        <w:rPr>
          <w:rtl/>
        </w:rPr>
      </w:pPr>
    </w:p>
    <w:p w:rsidR="006B4623" w:rsidRDefault="006B4623" w:rsidP="006B4623">
      <w:pPr>
        <w:pStyle w:val="Ruller41"/>
        <w:rPr>
          <w:rtl/>
        </w:rPr>
      </w:pPr>
      <w:r>
        <w:rPr>
          <w:rFonts w:hint="cs"/>
          <w:rtl/>
        </w:rPr>
        <w:t xml:space="preserve">4. </w:t>
      </w:r>
      <w:r>
        <w:rPr>
          <w:rtl/>
        </w:rPr>
        <w:tab/>
      </w:r>
      <w:r>
        <w:rPr>
          <w:rFonts w:hint="cs"/>
          <w:rtl/>
        </w:rPr>
        <w:t xml:space="preserve">וישאל השואל </w:t>
      </w:r>
      <w:r>
        <w:rPr>
          <w:rtl/>
        </w:rPr>
        <w:t>–</w:t>
      </w:r>
      <w:r>
        <w:rPr>
          <w:rFonts w:hint="cs"/>
          <w:rtl/>
        </w:rPr>
        <w:t xml:space="preserve"> מדוע ציון תנאי העסקה בחשבונית שניתנה בתקופת ההודעה אינו עומד בדרישות החוק לעניין מתן הודעת סיום הטבה? שהרי מדובר לכאורה בהודעה בכתב, הכוללת פירוט של תנאי העסקה. ולכך נענה: משום שלדרך מסירת המידע השפעה על אפקטיביות היידוע. תובנה אינטואיטיבית זו הודגמה באחרונה במחקר שנערך בעבור רשות האכיפה והגבייה במשרד המשפטים על ידי פרופ' אורן בר-גיל ופרופ' אלמה כהן, אשר בחנו באופן אמפירי כיצד דרכי יידוע </w:t>
      </w:r>
      <w:r w:rsidRPr="00CE4137">
        <w:rPr>
          <w:rFonts w:hint="cs"/>
          <w:rtl/>
        </w:rPr>
        <w:t>שונות (מכתב, שיחת טלפון</w:t>
      </w:r>
      <w:r>
        <w:rPr>
          <w:rFonts w:hint="cs"/>
          <w:rtl/>
        </w:rPr>
        <w:t>, מסרון</w:t>
      </w:r>
      <w:r w:rsidRPr="00CE4137">
        <w:rPr>
          <w:rFonts w:hint="cs"/>
          <w:rtl/>
        </w:rPr>
        <w:t xml:space="preserve"> וכיו"ב) מניעות חייבים לפרוע את חובותי</w:t>
      </w:r>
      <w:r>
        <w:rPr>
          <w:rFonts w:hint="cs"/>
          <w:rtl/>
        </w:rPr>
        <w:t xml:space="preserve">הם (למחקר ותוצאותיו ראו </w:t>
      </w:r>
      <w:r w:rsidRPr="00FA36FA">
        <w:rPr>
          <w:rFonts w:ascii="Century" w:hAnsi="Century" w:cs="Miriam"/>
          <w:bCs/>
          <w:spacing w:val="0"/>
          <w:szCs w:val="24"/>
        </w:rPr>
        <w:t xml:space="preserve">Oren Bar-Gill &amp; Alma Cohen, </w:t>
      </w:r>
      <w:r>
        <w:rPr>
          <w:rFonts w:ascii="Century" w:hAnsi="Century" w:cs="Miriam"/>
          <w:bCs/>
          <w:i/>
          <w:iCs/>
          <w:spacing w:val="0"/>
          <w:szCs w:val="24"/>
        </w:rPr>
        <w:t>How to Communicate the Nudge:</w:t>
      </w:r>
      <w:r w:rsidRPr="00FA36FA">
        <w:rPr>
          <w:rFonts w:ascii="Century" w:hAnsi="Century" w:cs="Miriam"/>
          <w:bCs/>
          <w:i/>
          <w:iCs/>
          <w:spacing w:val="0"/>
          <w:szCs w:val="24"/>
        </w:rPr>
        <w:t xml:space="preserve"> A Real-World Policy Experiment</w:t>
      </w:r>
      <w:r w:rsidRPr="00FA36FA">
        <w:rPr>
          <w:rFonts w:ascii="Century" w:hAnsi="Century" w:cs="Miriam"/>
          <w:bCs/>
          <w:spacing w:val="0"/>
          <w:szCs w:val="24"/>
        </w:rPr>
        <w:t xml:space="preserve">, 65 </w:t>
      </w:r>
      <w:r w:rsidRPr="00FA36FA">
        <w:rPr>
          <w:rFonts w:ascii="Century" w:hAnsi="Century" w:cs="Miriam"/>
          <w:bCs/>
          <w:smallCaps/>
          <w:spacing w:val="0"/>
          <w:szCs w:val="24"/>
        </w:rPr>
        <w:t>J. Law</w:t>
      </w:r>
      <w:r>
        <w:rPr>
          <w:rFonts w:ascii="Century" w:hAnsi="Century" w:cs="Miriam"/>
          <w:bCs/>
          <w:smallCaps/>
          <w:spacing w:val="0"/>
          <w:szCs w:val="24"/>
        </w:rPr>
        <w:t>.</w:t>
      </w:r>
      <w:r w:rsidRPr="00FA36FA">
        <w:rPr>
          <w:rFonts w:ascii="Century" w:hAnsi="Century" w:cs="Miriam"/>
          <w:bCs/>
          <w:smallCaps/>
          <w:spacing w:val="0"/>
          <w:szCs w:val="24"/>
        </w:rPr>
        <w:t xml:space="preserve"> &amp; Econ</w:t>
      </w:r>
      <w:r>
        <w:rPr>
          <w:rFonts w:ascii="Century" w:hAnsi="Century" w:cs="Miriam"/>
          <w:bCs/>
          <w:smallCaps/>
          <w:spacing w:val="0"/>
          <w:szCs w:val="24"/>
        </w:rPr>
        <w:t>.</w:t>
      </w:r>
      <w:r w:rsidRPr="00FA36FA">
        <w:rPr>
          <w:rFonts w:ascii="Century" w:hAnsi="Century" w:cs="Miriam"/>
          <w:bCs/>
          <w:spacing w:val="0"/>
          <w:szCs w:val="24"/>
        </w:rPr>
        <w:t xml:space="preserve"> </w:t>
      </w:r>
      <w:r>
        <w:rPr>
          <w:rFonts w:ascii="Century" w:hAnsi="Century" w:cs="Miriam"/>
          <w:bCs/>
          <w:spacing w:val="0"/>
          <w:szCs w:val="24"/>
        </w:rPr>
        <w:t xml:space="preserve">607 </w:t>
      </w:r>
      <w:r w:rsidRPr="00FA36FA">
        <w:rPr>
          <w:rFonts w:ascii="Century" w:hAnsi="Century" w:cs="Miriam"/>
          <w:bCs/>
          <w:spacing w:val="0"/>
          <w:szCs w:val="24"/>
        </w:rPr>
        <w:t>(2022</w:t>
      </w:r>
      <w:r w:rsidRPr="00FA36FA">
        <w:t>)</w:t>
      </w:r>
      <w:r w:rsidRPr="00FA36FA">
        <w:rPr>
          <w:rFonts w:hint="cs"/>
          <w:rtl/>
        </w:rPr>
        <w:t xml:space="preserve">). </w:t>
      </w:r>
      <w:r>
        <w:rPr>
          <w:rFonts w:hint="cs"/>
          <w:rtl/>
        </w:rPr>
        <w:t xml:space="preserve">ממצאים אלה ממחישים כי לאופן מסירת ההודעה יכולה להיות השפעה משמעותית על הסיכוי שהמידע הכלול בה יגיע לידיעת הנמענים, ויניע אותם לפעולה. </w:t>
      </w:r>
    </w:p>
    <w:p w:rsidR="006B4623" w:rsidRDefault="006B4623" w:rsidP="006B4623">
      <w:pPr>
        <w:pStyle w:val="Ruller41"/>
        <w:rPr>
          <w:rtl/>
        </w:rPr>
      </w:pPr>
    </w:p>
    <w:p w:rsidR="006B4623" w:rsidRDefault="006B4623" w:rsidP="00D76B85">
      <w:pPr>
        <w:pStyle w:val="Ruller41"/>
        <w:rPr>
          <w:rtl/>
        </w:rPr>
      </w:pPr>
      <w:r>
        <w:rPr>
          <w:rFonts w:hint="cs"/>
          <w:rtl/>
        </w:rPr>
        <w:t>5.</w:t>
      </w:r>
      <w:r>
        <w:rPr>
          <w:rtl/>
        </w:rPr>
        <w:tab/>
      </w:r>
      <w:r>
        <w:rPr>
          <w:rFonts w:hint="cs"/>
          <w:rtl/>
        </w:rPr>
        <w:t xml:space="preserve">בענייננו, </w:t>
      </w:r>
      <w:r w:rsidRPr="00FA36FA">
        <w:rPr>
          <w:rFonts w:hint="cs"/>
          <w:rtl/>
        </w:rPr>
        <w:t xml:space="preserve">המחוקק אומנם לא קבע </w:t>
      </w:r>
      <w:r>
        <w:rPr>
          <w:rFonts w:hint="cs"/>
          <w:rtl/>
        </w:rPr>
        <w:t xml:space="preserve">בהוראות החוק הרלוונטיות את דרך המשלוח הנדרשת ביחס להודעת סיום ההטבה (אלא רק הבהיר בסעיף </w:t>
      </w:r>
      <w:r w:rsidRPr="00101D59">
        <w:rPr>
          <w:rFonts w:hint="cs"/>
          <w:rtl/>
        </w:rPr>
        <w:t>13א(ד)</w:t>
      </w:r>
      <w:r>
        <w:rPr>
          <w:rFonts w:hint="cs"/>
          <w:rtl/>
        </w:rPr>
        <w:t xml:space="preserve"> לחוק כי עליה להימסר בכתב). ואולם, בסעיף 13א(ב) הוא עמד על כך שתימסר ללקוח הודעה, ושבנוסף אליה (ולא כחלופה אפשרית לה), ינקטו דרישות היידוע הנוסף, ובכללן הכללת המידע </w:t>
      </w:r>
      <w:r>
        <w:rPr>
          <w:rFonts w:hint="cs"/>
          <w:rtl/>
        </w:rPr>
        <w:lastRenderedPageBreak/>
        <w:t xml:space="preserve">בחשבוניות הנשלחות ללקוח בשלושת החודשים האחרונים לפני סיום המבצע. מהחמרה זו בדרישות היידוע נלמד כי הכללת המידע בחשבונית לבדה אין בה די. ולא בכדי. החשבונית היא מסמך סטנדרטי, הנשלח ללקוח מדי חודש בחודשו, ואשר במקרים רבים הלקוח אינו טורח לקרוא אותו, בוודאי שלא בצורה יסודית (ראו והשוו: שמואל בכר ואורן בר-גל "פרק ה: הגנת הצרכן" </w:t>
      </w:r>
      <w:r w:rsidRPr="003B2C23">
        <w:rPr>
          <w:rFonts w:ascii="Century" w:hAnsi="Century" w:cs="Miriam" w:hint="cs"/>
          <w:b/>
          <w:spacing w:val="0"/>
          <w:szCs w:val="24"/>
          <w:rtl/>
        </w:rPr>
        <w:t>הגישה הכלכלית למשפט</w:t>
      </w:r>
      <w:r>
        <w:rPr>
          <w:rFonts w:hint="cs"/>
          <w:rtl/>
        </w:rPr>
        <w:t xml:space="preserve"> 223, </w:t>
      </w:r>
      <w:r w:rsidRPr="0016783A">
        <w:rPr>
          <w:rFonts w:hint="cs"/>
          <w:rtl/>
        </w:rPr>
        <w:t>249 (</w:t>
      </w:r>
      <w:r w:rsidRPr="005571D0">
        <w:rPr>
          <w:rFonts w:hint="eastAsia"/>
          <w:rtl/>
        </w:rPr>
        <w:t>אוריאל</w:t>
      </w:r>
      <w:r w:rsidRPr="005571D0">
        <w:rPr>
          <w:rtl/>
        </w:rPr>
        <w:t xml:space="preserve"> </w:t>
      </w:r>
      <w:proofErr w:type="spellStart"/>
      <w:r w:rsidRPr="005571D0">
        <w:rPr>
          <w:rFonts w:hint="eastAsia"/>
          <w:rtl/>
        </w:rPr>
        <w:t>פרוקצ</w:t>
      </w:r>
      <w:r w:rsidRPr="005571D0">
        <w:rPr>
          <w:rtl/>
        </w:rPr>
        <w:t>'</w:t>
      </w:r>
      <w:r w:rsidRPr="005571D0">
        <w:rPr>
          <w:rFonts w:hint="eastAsia"/>
          <w:rtl/>
        </w:rPr>
        <w:t>יה</w:t>
      </w:r>
      <w:proofErr w:type="spellEnd"/>
      <w:r w:rsidRPr="005571D0">
        <w:rPr>
          <w:rtl/>
        </w:rPr>
        <w:t xml:space="preserve"> </w:t>
      </w:r>
      <w:r w:rsidRPr="005571D0">
        <w:rPr>
          <w:rFonts w:hint="eastAsia"/>
          <w:rtl/>
        </w:rPr>
        <w:t>עורך</w:t>
      </w:r>
      <w:r>
        <w:rPr>
          <w:rFonts w:hint="cs"/>
          <w:rtl/>
        </w:rPr>
        <w:t xml:space="preserve"> 2012</w:t>
      </w:r>
      <w:r w:rsidRPr="0016783A">
        <w:rPr>
          <w:rFonts w:hint="cs"/>
          <w:rtl/>
        </w:rPr>
        <w:t xml:space="preserve">); </w:t>
      </w:r>
      <w:r w:rsidRPr="00500060">
        <w:rPr>
          <w:rFonts w:hint="eastAsia"/>
          <w:rtl/>
        </w:rPr>
        <w:t>דורון</w:t>
      </w:r>
      <w:r w:rsidRPr="00500060">
        <w:rPr>
          <w:rtl/>
        </w:rPr>
        <w:t xml:space="preserve"> </w:t>
      </w:r>
      <w:proofErr w:type="spellStart"/>
      <w:r w:rsidRPr="00500060">
        <w:rPr>
          <w:rFonts w:hint="eastAsia"/>
          <w:rtl/>
        </w:rPr>
        <w:t>טייכמן</w:t>
      </w:r>
      <w:proofErr w:type="spellEnd"/>
      <w:r w:rsidRPr="00500060">
        <w:rPr>
          <w:rtl/>
        </w:rPr>
        <w:t xml:space="preserve">, </w:t>
      </w:r>
      <w:r w:rsidRPr="00500060">
        <w:rPr>
          <w:rFonts w:hint="eastAsia"/>
          <w:rtl/>
        </w:rPr>
        <w:t>איל</w:t>
      </w:r>
      <w:r w:rsidRPr="00500060">
        <w:rPr>
          <w:rtl/>
        </w:rPr>
        <w:t xml:space="preserve"> </w:t>
      </w:r>
      <w:r w:rsidRPr="00500060">
        <w:rPr>
          <w:rFonts w:hint="eastAsia"/>
          <w:rtl/>
        </w:rPr>
        <w:t>זמיר</w:t>
      </w:r>
      <w:r w:rsidRPr="00500060">
        <w:rPr>
          <w:rtl/>
        </w:rPr>
        <w:t xml:space="preserve"> </w:t>
      </w:r>
      <w:r w:rsidRPr="00500060">
        <w:rPr>
          <w:rFonts w:hint="eastAsia"/>
          <w:rtl/>
        </w:rPr>
        <w:t>ויובל</w:t>
      </w:r>
      <w:r w:rsidRPr="00500060">
        <w:rPr>
          <w:rtl/>
        </w:rPr>
        <w:t xml:space="preserve"> </w:t>
      </w:r>
      <w:proofErr w:type="spellStart"/>
      <w:r w:rsidRPr="00500060">
        <w:rPr>
          <w:rFonts w:hint="eastAsia"/>
          <w:rtl/>
        </w:rPr>
        <w:t>פרקש</w:t>
      </w:r>
      <w:proofErr w:type="spellEnd"/>
      <w:r w:rsidRPr="00500060">
        <w:rPr>
          <w:rtl/>
        </w:rPr>
        <w:t xml:space="preserve"> "</w:t>
      </w:r>
      <w:r w:rsidRPr="00500060">
        <w:rPr>
          <w:rFonts w:hint="eastAsia"/>
          <w:rtl/>
        </w:rPr>
        <w:t>ניתוח</w:t>
      </w:r>
      <w:r w:rsidRPr="00500060">
        <w:rPr>
          <w:rtl/>
        </w:rPr>
        <w:t xml:space="preserve"> </w:t>
      </w:r>
      <w:r w:rsidRPr="00500060">
        <w:rPr>
          <w:rFonts w:hint="eastAsia"/>
          <w:rtl/>
        </w:rPr>
        <w:t>התנהגותי</w:t>
      </w:r>
      <w:r w:rsidRPr="00500060">
        <w:rPr>
          <w:rtl/>
        </w:rPr>
        <w:t xml:space="preserve"> </w:t>
      </w:r>
      <w:r w:rsidRPr="00500060">
        <w:rPr>
          <w:rFonts w:hint="eastAsia"/>
          <w:rtl/>
        </w:rPr>
        <w:t>של</w:t>
      </w:r>
      <w:r w:rsidRPr="00500060">
        <w:rPr>
          <w:rtl/>
        </w:rPr>
        <w:t xml:space="preserve"> </w:t>
      </w:r>
      <w:r w:rsidRPr="00500060">
        <w:rPr>
          <w:rFonts w:hint="eastAsia"/>
          <w:rtl/>
        </w:rPr>
        <w:t>דיני</w:t>
      </w:r>
      <w:r w:rsidRPr="00500060">
        <w:rPr>
          <w:rtl/>
        </w:rPr>
        <w:t xml:space="preserve"> </w:t>
      </w:r>
      <w:r w:rsidRPr="00500060">
        <w:rPr>
          <w:rFonts w:hint="eastAsia"/>
          <w:rtl/>
        </w:rPr>
        <w:t>החוזים</w:t>
      </w:r>
      <w:r w:rsidRPr="00500060">
        <w:rPr>
          <w:rtl/>
        </w:rPr>
        <w:t xml:space="preserve">: </w:t>
      </w:r>
      <w:r w:rsidRPr="00500060">
        <w:rPr>
          <w:rFonts w:hint="eastAsia"/>
          <w:rtl/>
        </w:rPr>
        <w:t>ממצאים</w:t>
      </w:r>
      <w:r w:rsidRPr="00500060">
        <w:rPr>
          <w:rtl/>
        </w:rPr>
        <w:t xml:space="preserve"> </w:t>
      </w:r>
      <w:r w:rsidRPr="00500060">
        <w:rPr>
          <w:rFonts w:hint="eastAsia"/>
          <w:rtl/>
        </w:rPr>
        <w:t>אמפיריים</w:t>
      </w:r>
      <w:r>
        <w:rPr>
          <w:rFonts w:hint="cs"/>
          <w:rtl/>
        </w:rPr>
        <w:t xml:space="preserve">, תובנות תאורטיות והשלכות משפטיות" </w:t>
      </w:r>
      <w:r w:rsidRPr="00500060">
        <w:rPr>
          <w:rFonts w:ascii="Century" w:hAnsi="Century" w:cs="Miriam" w:hint="cs"/>
          <w:b/>
          <w:spacing w:val="0"/>
          <w:szCs w:val="24"/>
          <w:rtl/>
        </w:rPr>
        <w:t xml:space="preserve">ספר גבריאלה שלו </w:t>
      </w:r>
      <w:r w:rsidRPr="00500060">
        <w:rPr>
          <w:rFonts w:ascii="Century" w:hAnsi="Century" w:cs="Miriam"/>
          <w:b/>
          <w:spacing w:val="0"/>
          <w:szCs w:val="24"/>
          <w:rtl/>
        </w:rPr>
        <w:t>–</w:t>
      </w:r>
      <w:r w:rsidRPr="00500060">
        <w:rPr>
          <w:rFonts w:ascii="Century" w:hAnsi="Century" w:cs="Miriam" w:hint="cs"/>
          <w:b/>
          <w:spacing w:val="0"/>
          <w:szCs w:val="24"/>
          <w:rtl/>
        </w:rPr>
        <w:t xml:space="preserve"> עיונים בתורת החוזה</w:t>
      </w:r>
      <w:r w:rsidRPr="00500060">
        <w:rPr>
          <w:rFonts w:hint="cs"/>
          <w:rtl/>
        </w:rPr>
        <w:t xml:space="preserve"> </w:t>
      </w:r>
      <w:r>
        <w:rPr>
          <w:rFonts w:hint="cs"/>
          <w:rtl/>
        </w:rPr>
        <w:t xml:space="preserve">1, 10 (יהודה אדר, אהרן ברק ואפי צמח עורכים 2021); </w:t>
      </w:r>
      <w:proofErr w:type="spellStart"/>
      <w:r w:rsidRPr="0016783A">
        <w:rPr>
          <w:rFonts w:ascii="Century" w:hAnsi="Century" w:cs="Miriam"/>
          <w:bCs/>
          <w:spacing w:val="0"/>
          <w:szCs w:val="24"/>
        </w:rPr>
        <w:t>Yannis</w:t>
      </w:r>
      <w:proofErr w:type="spellEnd"/>
      <w:r w:rsidRPr="0016783A">
        <w:rPr>
          <w:rFonts w:ascii="Century" w:hAnsi="Century" w:cs="Miriam"/>
          <w:bCs/>
          <w:spacing w:val="0"/>
          <w:szCs w:val="24"/>
        </w:rPr>
        <w:t xml:space="preserve"> </w:t>
      </w:r>
      <w:proofErr w:type="spellStart"/>
      <w:r w:rsidRPr="0016783A">
        <w:rPr>
          <w:rFonts w:ascii="Century" w:hAnsi="Century" w:cs="Miriam"/>
          <w:bCs/>
          <w:spacing w:val="0"/>
          <w:szCs w:val="24"/>
        </w:rPr>
        <w:t>Bakos</w:t>
      </w:r>
      <w:proofErr w:type="spellEnd"/>
      <w:r w:rsidRPr="0016783A">
        <w:rPr>
          <w:rFonts w:ascii="Century" w:hAnsi="Century" w:cs="Miriam"/>
          <w:bCs/>
          <w:spacing w:val="0"/>
          <w:szCs w:val="24"/>
        </w:rPr>
        <w:t xml:space="preserve">, </w:t>
      </w:r>
      <w:proofErr w:type="spellStart"/>
      <w:r w:rsidRPr="0016783A">
        <w:rPr>
          <w:rFonts w:ascii="Century" w:hAnsi="Century" w:cs="Miriam"/>
          <w:bCs/>
          <w:spacing w:val="0"/>
          <w:szCs w:val="24"/>
        </w:rPr>
        <w:t>Florencia</w:t>
      </w:r>
      <w:proofErr w:type="spellEnd"/>
      <w:r w:rsidRPr="0016783A">
        <w:rPr>
          <w:rFonts w:ascii="Century" w:hAnsi="Century" w:cs="Miriam"/>
          <w:bCs/>
          <w:spacing w:val="0"/>
          <w:szCs w:val="24"/>
        </w:rPr>
        <w:t xml:space="preserve"> </w:t>
      </w:r>
      <w:proofErr w:type="spellStart"/>
      <w:r w:rsidRPr="0016783A">
        <w:rPr>
          <w:rFonts w:ascii="Century" w:hAnsi="Century" w:cs="Miriam"/>
          <w:bCs/>
          <w:spacing w:val="0"/>
          <w:szCs w:val="24"/>
        </w:rPr>
        <w:t>Marotta-Wurgler</w:t>
      </w:r>
      <w:proofErr w:type="spellEnd"/>
      <w:r w:rsidRPr="0016783A">
        <w:rPr>
          <w:rFonts w:ascii="Century" w:hAnsi="Century" w:cs="Miriam"/>
          <w:bCs/>
          <w:spacing w:val="0"/>
          <w:szCs w:val="24"/>
        </w:rPr>
        <w:t xml:space="preserve"> &amp; David R. </w:t>
      </w:r>
      <w:proofErr w:type="spellStart"/>
      <w:r w:rsidRPr="0016783A">
        <w:rPr>
          <w:rFonts w:ascii="Century" w:hAnsi="Century" w:cs="Miriam"/>
          <w:bCs/>
          <w:spacing w:val="0"/>
          <w:szCs w:val="24"/>
        </w:rPr>
        <w:t>Trossen</w:t>
      </w:r>
      <w:proofErr w:type="spellEnd"/>
      <w:r w:rsidRPr="0016783A">
        <w:rPr>
          <w:rFonts w:ascii="Century" w:hAnsi="Century" w:cs="Miriam"/>
          <w:bCs/>
          <w:spacing w:val="0"/>
          <w:szCs w:val="24"/>
        </w:rPr>
        <w:t xml:space="preserve">, </w:t>
      </w:r>
      <w:r w:rsidRPr="0016783A">
        <w:rPr>
          <w:rFonts w:ascii="Century" w:hAnsi="Century" w:cs="Miriam"/>
          <w:bCs/>
          <w:i/>
          <w:iCs/>
          <w:spacing w:val="0"/>
          <w:szCs w:val="24"/>
        </w:rPr>
        <w:t>Does Anyone Read the Fine Print? Consumer Attention to Standard Form C</w:t>
      </w:r>
      <w:r w:rsidRPr="003B64AB">
        <w:rPr>
          <w:rFonts w:ascii="Century" w:hAnsi="Century" w:cs="Miriam"/>
          <w:bCs/>
          <w:i/>
          <w:iCs/>
          <w:spacing w:val="0"/>
          <w:szCs w:val="24"/>
        </w:rPr>
        <w:t>ontracts</w:t>
      </w:r>
      <w:r w:rsidRPr="003B64AB">
        <w:rPr>
          <w:rFonts w:ascii="Century" w:hAnsi="Century" w:cs="Miriam"/>
          <w:bCs/>
          <w:spacing w:val="0"/>
          <w:szCs w:val="24"/>
        </w:rPr>
        <w:t xml:space="preserve">, 43 J. </w:t>
      </w:r>
      <w:r w:rsidRPr="003B64AB">
        <w:rPr>
          <w:rFonts w:ascii="Century" w:hAnsi="Century" w:cs="Miriam"/>
          <w:bCs/>
          <w:smallCaps/>
          <w:spacing w:val="0"/>
          <w:szCs w:val="24"/>
        </w:rPr>
        <w:t>Legal Stud.</w:t>
      </w:r>
      <w:r w:rsidRPr="003B64AB">
        <w:rPr>
          <w:rFonts w:ascii="Century" w:hAnsi="Century" w:cs="Miriam"/>
          <w:bCs/>
          <w:spacing w:val="0"/>
          <w:szCs w:val="24"/>
        </w:rPr>
        <w:t xml:space="preserve"> 1 (</w:t>
      </w:r>
      <w:r w:rsidRPr="0016783A">
        <w:rPr>
          <w:rFonts w:ascii="Century" w:hAnsi="Century" w:cs="Miriam"/>
          <w:bCs/>
          <w:spacing w:val="0"/>
          <w:szCs w:val="24"/>
        </w:rPr>
        <w:t>2014)</w:t>
      </w:r>
      <w:r w:rsidRPr="0016783A">
        <w:rPr>
          <w:rFonts w:ascii="Century" w:hAnsi="Century" w:cs="Miriam" w:hint="cs"/>
          <w:bCs/>
          <w:spacing w:val="0"/>
          <w:szCs w:val="24"/>
          <w:rtl/>
        </w:rPr>
        <w:t xml:space="preserve">). </w:t>
      </w:r>
      <w:r w:rsidRPr="0016783A">
        <w:rPr>
          <w:rFonts w:hint="cs"/>
          <w:rtl/>
        </w:rPr>
        <w:t>ויובהר</w:t>
      </w:r>
      <w:r>
        <w:rPr>
          <w:rFonts w:hint="cs"/>
          <w:rtl/>
        </w:rPr>
        <w:t xml:space="preserve">, המחוקק לא ציין אומנם כי הודעת סיום הטבה צריכה להימסר במסמך נפרד, כפי שקבע ביחס לידיעות אחרות שביקש להבטיח כי יגיעו </w:t>
      </w:r>
      <w:r w:rsidRPr="00EF18CF">
        <w:rPr>
          <w:rFonts w:hint="cs"/>
          <w:rtl/>
        </w:rPr>
        <w:t>לתודעת הלקוחות (השוו, למשל, סעיף 13ב2(ד)(1) לחוק (משלוח הודעת חוב יעשה "</w:t>
      </w:r>
      <w:r w:rsidRPr="007F1BD6">
        <w:rPr>
          <w:rFonts w:ascii="Century" w:hAnsi="Century" w:cs="Miriam" w:hint="cs"/>
          <w:b/>
          <w:spacing w:val="0"/>
          <w:szCs w:val="24"/>
          <w:rtl/>
        </w:rPr>
        <w:t>בכתב ובמסמך נפרד</w:t>
      </w:r>
      <w:r w:rsidRPr="00EF18CF">
        <w:rPr>
          <w:rFonts w:hint="cs"/>
          <w:rtl/>
        </w:rPr>
        <w:t xml:space="preserve">"); </w:t>
      </w:r>
      <w:r>
        <w:rPr>
          <w:rFonts w:hint="cs"/>
          <w:rtl/>
        </w:rPr>
        <w:t>ו</w:t>
      </w:r>
      <w:r w:rsidRPr="00EF18CF">
        <w:rPr>
          <w:rFonts w:hint="cs"/>
          <w:rtl/>
        </w:rPr>
        <w:t>סעיף  13ה(ב)(2) לחוק (מסירת טופס גילוי "</w:t>
      </w:r>
      <w:r w:rsidRPr="007F1BD6">
        <w:rPr>
          <w:rFonts w:ascii="Century" w:hAnsi="Century" w:cs="Miriam" w:hint="cs"/>
          <w:b/>
          <w:spacing w:val="0"/>
          <w:szCs w:val="24"/>
          <w:rtl/>
        </w:rPr>
        <w:t>בנפרד מהחוזה</w:t>
      </w:r>
      <w:r w:rsidRPr="00EF18CF">
        <w:rPr>
          <w:rFonts w:hint="cs"/>
          <w:rtl/>
        </w:rPr>
        <w:t>" כשמדובר בעסקה מתמשכת בעניין שירותי רפואה)).</w:t>
      </w:r>
      <w:r>
        <w:rPr>
          <w:rFonts w:hint="cs"/>
          <w:rtl/>
        </w:rPr>
        <w:t xml:space="preserve"> על כן ניתן, אולי, לטעון כי הודעת סיום הטבה יכולה להימסר גם במסגרת מסמך מיוחד הכולל הודעות בנושאים נוספים. ואולם לכדי הכללתה במסמך שגרתי וסטנדרטי, כדוגמת חשבונית, המיועד למטרה שונה, לא ניתן להתפשר. </w:t>
      </w:r>
    </w:p>
    <w:p w:rsidR="006B4623" w:rsidRDefault="006B4623" w:rsidP="006B4623">
      <w:pPr>
        <w:pStyle w:val="Ruller41"/>
        <w:rPr>
          <w:rtl/>
        </w:rPr>
      </w:pPr>
    </w:p>
    <w:p w:rsidR="006B4623" w:rsidRDefault="006B4623" w:rsidP="00D76B85">
      <w:pPr>
        <w:pStyle w:val="Ruller41"/>
        <w:rPr>
          <w:rtl/>
        </w:rPr>
      </w:pPr>
      <w:r>
        <w:rPr>
          <w:rFonts w:hint="cs"/>
          <w:rtl/>
        </w:rPr>
        <w:t>6.</w:t>
      </w:r>
      <w:r>
        <w:rPr>
          <w:rtl/>
        </w:rPr>
        <w:tab/>
      </w:r>
      <w:r>
        <w:rPr>
          <w:rFonts w:hint="cs"/>
          <w:rtl/>
        </w:rPr>
        <w:t xml:space="preserve">ויוסיף המקשה ויקשה, מה לי הודעה במסמך שהוא סטנדרטי כדוגמת חשבונית מהודעה במסמך מיוחד הנשלח ללקוח? ואף לכך נשיב, שדרכו של אדם להתעלם ממסמכים סטנדרטיים הנשלחים אליו כעניין שבשגרה מדי חודש בחודש, בוודאי כשאין בהם לרוב כל חידוש, ואשר תוכנם העיקרי מופיע בחשבונו האישי בבנק, ואילו בהודעה </w:t>
      </w:r>
      <w:r w:rsidRPr="00CA36E8">
        <w:rPr>
          <w:rFonts w:hint="cs"/>
          <w:rtl/>
        </w:rPr>
        <w:t xml:space="preserve">חריגה הנשלחת אליו יש סיכוי גדול יותר כי </w:t>
      </w:r>
      <w:r>
        <w:rPr>
          <w:rFonts w:hint="cs"/>
          <w:rtl/>
        </w:rPr>
        <w:t>יעיין, וייתן דעתו לאמור בה (והשוו ל</w:t>
      </w:r>
      <w:r w:rsidRPr="00CA36E8">
        <w:rPr>
          <w:rFonts w:hint="cs"/>
          <w:rtl/>
        </w:rPr>
        <w:t>מחקרים מתחום הפסיכולוגיה</w:t>
      </w:r>
      <w:r>
        <w:rPr>
          <w:rFonts w:hint="cs"/>
          <w:rtl/>
        </w:rPr>
        <w:t>, המלמדים כי מידע המוצג באופן חריג ייזכר בצורה טובה יותר על ידי האדם שנחשף לו. ראו, למשל,</w:t>
      </w:r>
      <w:r>
        <w:rPr>
          <w:rFonts w:ascii="Century" w:hAnsi="Century" w:cs="Miriam" w:hint="cs"/>
          <w:bCs/>
          <w:spacing w:val="0"/>
          <w:szCs w:val="24"/>
          <w:rtl/>
        </w:rPr>
        <w:t xml:space="preserve"> </w:t>
      </w:r>
      <w:r w:rsidRPr="00687E13">
        <w:rPr>
          <w:rFonts w:ascii="Century" w:hAnsi="Century" w:cs="Miriam"/>
          <w:bCs/>
          <w:spacing w:val="0"/>
          <w:szCs w:val="24"/>
        </w:rPr>
        <w:t>Reed</w:t>
      </w:r>
      <w:r>
        <w:rPr>
          <w:rFonts w:ascii="Century" w:hAnsi="Century" w:cs="Miriam"/>
          <w:bCs/>
          <w:smallCaps/>
          <w:spacing w:val="0"/>
          <w:szCs w:val="24"/>
        </w:rPr>
        <w:t xml:space="preserve"> R. </w:t>
      </w:r>
      <w:r w:rsidRPr="00687E13">
        <w:rPr>
          <w:rFonts w:ascii="Century" w:hAnsi="Century" w:cs="Miriam"/>
          <w:bCs/>
          <w:spacing w:val="0"/>
          <w:szCs w:val="24"/>
        </w:rPr>
        <w:t>Hunt</w:t>
      </w:r>
      <w:r>
        <w:rPr>
          <w:rFonts w:ascii="Century" w:hAnsi="Century" w:cs="Miriam"/>
          <w:bCs/>
          <w:spacing w:val="0"/>
          <w:szCs w:val="24"/>
        </w:rPr>
        <w:t xml:space="preserve">, </w:t>
      </w:r>
      <w:r w:rsidRPr="00175E96">
        <w:rPr>
          <w:rFonts w:ascii="Century" w:hAnsi="Century" w:cs="Miriam"/>
          <w:bCs/>
          <w:i/>
          <w:iCs/>
          <w:spacing w:val="0"/>
          <w:szCs w:val="24"/>
        </w:rPr>
        <w:t xml:space="preserve">The Subtlety of Distinctiveness: What von </w:t>
      </w:r>
      <w:proofErr w:type="spellStart"/>
      <w:r w:rsidRPr="00175E96">
        <w:rPr>
          <w:rFonts w:ascii="Century" w:hAnsi="Century" w:cs="Miriam"/>
          <w:bCs/>
          <w:i/>
          <w:iCs/>
          <w:spacing w:val="0"/>
          <w:szCs w:val="24"/>
        </w:rPr>
        <w:t>Restorff</w:t>
      </w:r>
      <w:proofErr w:type="spellEnd"/>
      <w:r w:rsidRPr="00175E96">
        <w:rPr>
          <w:rFonts w:ascii="Century" w:hAnsi="Century" w:cs="Miriam"/>
          <w:bCs/>
          <w:i/>
          <w:iCs/>
          <w:spacing w:val="0"/>
          <w:szCs w:val="24"/>
        </w:rPr>
        <w:t xml:space="preserve"> Really </w:t>
      </w:r>
      <w:r w:rsidRPr="003B64AB">
        <w:rPr>
          <w:rFonts w:ascii="Century" w:hAnsi="Century" w:cs="Miriam"/>
          <w:bCs/>
          <w:i/>
          <w:iCs/>
          <w:spacing w:val="0"/>
          <w:szCs w:val="24"/>
        </w:rPr>
        <w:t>Did</w:t>
      </w:r>
      <w:r w:rsidRPr="003B64AB">
        <w:rPr>
          <w:rFonts w:ascii="Century" w:hAnsi="Century" w:cs="Miriam"/>
          <w:bCs/>
          <w:spacing w:val="0"/>
          <w:szCs w:val="24"/>
        </w:rPr>
        <w:t>, 2</w:t>
      </w:r>
      <w:r w:rsidRPr="003B64AB">
        <w:t xml:space="preserve"> </w:t>
      </w:r>
      <w:proofErr w:type="spellStart"/>
      <w:r w:rsidRPr="003B64AB">
        <w:rPr>
          <w:rFonts w:ascii="Century" w:hAnsi="Century" w:cs="Miriam"/>
          <w:bCs/>
          <w:smallCaps/>
          <w:spacing w:val="0"/>
          <w:szCs w:val="24"/>
        </w:rPr>
        <w:t>Psychonomic</w:t>
      </w:r>
      <w:proofErr w:type="spellEnd"/>
      <w:r w:rsidRPr="003B64AB">
        <w:rPr>
          <w:rFonts w:ascii="Century" w:hAnsi="Century" w:cs="Miriam"/>
          <w:bCs/>
          <w:smallCaps/>
          <w:spacing w:val="0"/>
          <w:szCs w:val="24"/>
        </w:rPr>
        <w:t xml:space="preserve"> Bull. &amp; Rev</w:t>
      </w:r>
      <w:r w:rsidRPr="003B64AB">
        <w:rPr>
          <w:rFonts w:ascii="Century" w:hAnsi="Century" w:cs="Miriam"/>
          <w:bCs/>
          <w:spacing w:val="0"/>
          <w:szCs w:val="24"/>
        </w:rPr>
        <w:t>. 105 (1995); Matt</w:t>
      </w:r>
      <w:r>
        <w:rPr>
          <w:rFonts w:ascii="Century" w:hAnsi="Century" w:cs="Miriam"/>
          <w:bCs/>
          <w:spacing w:val="0"/>
          <w:szCs w:val="24"/>
        </w:rPr>
        <w:t xml:space="preserve">hew R. Kelly &amp; James S. </w:t>
      </w:r>
      <w:proofErr w:type="spellStart"/>
      <w:r>
        <w:rPr>
          <w:rFonts w:ascii="Century" w:hAnsi="Century" w:cs="Miriam"/>
          <w:bCs/>
          <w:spacing w:val="0"/>
          <w:szCs w:val="24"/>
        </w:rPr>
        <w:t>Nairne</w:t>
      </w:r>
      <w:proofErr w:type="spellEnd"/>
      <w:r w:rsidRPr="00D278B9">
        <w:rPr>
          <w:rFonts w:ascii="Century" w:hAnsi="Century" w:cs="Miriam"/>
          <w:bCs/>
          <w:i/>
          <w:iCs/>
          <w:spacing w:val="0"/>
          <w:szCs w:val="24"/>
        </w:rPr>
        <w:t xml:space="preserve">, von </w:t>
      </w:r>
      <w:proofErr w:type="spellStart"/>
      <w:r w:rsidRPr="00D278B9">
        <w:rPr>
          <w:rFonts w:ascii="Century" w:hAnsi="Century" w:cs="Miriam"/>
          <w:bCs/>
          <w:i/>
          <w:iCs/>
          <w:spacing w:val="0"/>
          <w:szCs w:val="24"/>
        </w:rPr>
        <w:t>Restorff</w:t>
      </w:r>
      <w:proofErr w:type="spellEnd"/>
      <w:r w:rsidRPr="00D278B9">
        <w:rPr>
          <w:rFonts w:ascii="Century" w:hAnsi="Century" w:cs="Miriam"/>
          <w:bCs/>
          <w:i/>
          <w:iCs/>
          <w:spacing w:val="0"/>
          <w:szCs w:val="24"/>
        </w:rPr>
        <w:t xml:space="preserve"> </w:t>
      </w:r>
      <w:r>
        <w:rPr>
          <w:rFonts w:ascii="Century" w:hAnsi="Century" w:cs="Miriam"/>
          <w:bCs/>
          <w:i/>
          <w:iCs/>
          <w:spacing w:val="0"/>
          <w:szCs w:val="24"/>
        </w:rPr>
        <w:t>R</w:t>
      </w:r>
      <w:r w:rsidRPr="00D278B9">
        <w:rPr>
          <w:rFonts w:ascii="Century" w:hAnsi="Century" w:cs="Miriam"/>
          <w:bCs/>
          <w:i/>
          <w:iCs/>
          <w:spacing w:val="0"/>
          <w:szCs w:val="24"/>
        </w:rPr>
        <w:t xml:space="preserve">evisited: Isolation, </w:t>
      </w:r>
      <w:r>
        <w:rPr>
          <w:rFonts w:ascii="Century" w:hAnsi="Century" w:cs="Miriam"/>
          <w:bCs/>
          <w:i/>
          <w:iCs/>
          <w:spacing w:val="0"/>
          <w:szCs w:val="24"/>
        </w:rPr>
        <w:t>G</w:t>
      </w:r>
      <w:r w:rsidRPr="00D278B9">
        <w:rPr>
          <w:rFonts w:ascii="Century" w:hAnsi="Century" w:cs="Miriam"/>
          <w:bCs/>
          <w:i/>
          <w:iCs/>
          <w:spacing w:val="0"/>
          <w:szCs w:val="24"/>
        </w:rPr>
        <w:t xml:space="preserve">eneration, and </w:t>
      </w:r>
      <w:r>
        <w:rPr>
          <w:rFonts w:ascii="Century" w:hAnsi="Century" w:cs="Miriam"/>
          <w:bCs/>
          <w:i/>
          <w:iCs/>
          <w:spacing w:val="0"/>
          <w:szCs w:val="24"/>
        </w:rPr>
        <w:t>M</w:t>
      </w:r>
      <w:r w:rsidRPr="00D278B9">
        <w:rPr>
          <w:rFonts w:ascii="Century" w:hAnsi="Century" w:cs="Miriam"/>
          <w:bCs/>
          <w:i/>
          <w:iCs/>
          <w:spacing w:val="0"/>
          <w:szCs w:val="24"/>
        </w:rPr>
        <w:t xml:space="preserve">emory for </w:t>
      </w:r>
      <w:r>
        <w:rPr>
          <w:rFonts w:ascii="Century" w:hAnsi="Century" w:cs="Miriam"/>
          <w:bCs/>
          <w:i/>
          <w:iCs/>
          <w:spacing w:val="0"/>
          <w:szCs w:val="24"/>
        </w:rPr>
        <w:t>O</w:t>
      </w:r>
      <w:r w:rsidRPr="005D7B7E">
        <w:rPr>
          <w:rFonts w:ascii="Century" w:hAnsi="Century" w:cs="Miriam"/>
          <w:bCs/>
          <w:i/>
          <w:iCs/>
          <w:spacing w:val="0"/>
          <w:szCs w:val="24"/>
        </w:rPr>
        <w:t>rder</w:t>
      </w:r>
      <w:r w:rsidRPr="005D7B7E">
        <w:rPr>
          <w:rFonts w:ascii="Century" w:hAnsi="Century" w:cs="Miriam"/>
          <w:bCs/>
          <w:spacing w:val="0"/>
          <w:szCs w:val="24"/>
        </w:rPr>
        <w:t xml:space="preserve">, 27 J. </w:t>
      </w:r>
      <w:r w:rsidRPr="005D7B7E">
        <w:rPr>
          <w:rFonts w:ascii="Century" w:hAnsi="Century" w:cs="Miriam"/>
          <w:bCs/>
          <w:smallCaps/>
          <w:spacing w:val="0"/>
          <w:szCs w:val="24"/>
        </w:rPr>
        <w:t>Experimental Psych.: Learning, Memory, &amp; Cognition 54, 55</w:t>
      </w:r>
      <w:r>
        <w:rPr>
          <w:rFonts w:ascii="Century" w:hAnsi="Century" w:cs="Miriam"/>
          <w:bCs/>
          <w:smallCaps/>
          <w:spacing w:val="0"/>
          <w:szCs w:val="24"/>
        </w:rPr>
        <w:t>-56 (2001</w:t>
      </w:r>
      <w:r w:rsidRPr="00687E13">
        <w:rPr>
          <w:rFonts w:ascii="Century" w:hAnsi="Century" w:cs="Miriam"/>
          <w:bCs/>
          <w:spacing w:val="0"/>
          <w:szCs w:val="24"/>
        </w:rPr>
        <w:t>);</w:t>
      </w:r>
      <w:r>
        <w:rPr>
          <w:rFonts w:ascii="Century" w:hAnsi="Century" w:cs="Miriam"/>
          <w:bCs/>
          <w:spacing w:val="0"/>
          <w:szCs w:val="24"/>
        </w:rPr>
        <w:t xml:space="preserve"> </w:t>
      </w:r>
      <w:proofErr w:type="spellStart"/>
      <w:r w:rsidRPr="00D85B25">
        <w:rPr>
          <w:rFonts w:ascii="Century" w:hAnsi="Century" w:cs="Miriam"/>
          <w:bCs/>
          <w:spacing w:val="0"/>
          <w:szCs w:val="24"/>
        </w:rPr>
        <w:t>Omri</w:t>
      </w:r>
      <w:proofErr w:type="spellEnd"/>
      <w:r w:rsidRPr="00D85B25">
        <w:rPr>
          <w:rFonts w:ascii="Century" w:hAnsi="Century" w:cs="Miriam"/>
          <w:bCs/>
          <w:spacing w:val="0"/>
          <w:szCs w:val="24"/>
        </w:rPr>
        <w:t xml:space="preserve"> Ben-</w:t>
      </w:r>
      <w:proofErr w:type="spellStart"/>
      <w:r>
        <w:rPr>
          <w:rFonts w:ascii="Century" w:hAnsi="Century" w:cs="Miriam"/>
          <w:bCs/>
          <w:spacing w:val="0"/>
          <w:szCs w:val="24"/>
        </w:rPr>
        <w:t>S</w:t>
      </w:r>
      <w:r w:rsidRPr="00D85B25">
        <w:rPr>
          <w:rFonts w:ascii="Century" w:hAnsi="Century" w:cs="Miriam"/>
          <w:bCs/>
          <w:spacing w:val="0"/>
          <w:szCs w:val="24"/>
        </w:rPr>
        <w:t>hahar</w:t>
      </w:r>
      <w:proofErr w:type="spellEnd"/>
      <w:r>
        <w:rPr>
          <w:rFonts w:ascii="Century" w:hAnsi="Century" w:cs="Miriam"/>
          <w:bCs/>
          <w:spacing w:val="0"/>
          <w:szCs w:val="24"/>
        </w:rPr>
        <w:t xml:space="preserve"> &amp; Carl E. Schneider, </w:t>
      </w:r>
      <w:r w:rsidRPr="00D85B25">
        <w:rPr>
          <w:rFonts w:ascii="Century" w:hAnsi="Century" w:cs="Miriam"/>
          <w:bCs/>
          <w:i/>
          <w:iCs/>
          <w:spacing w:val="0"/>
          <w:szCs w:val="24"/>
        </w:rPr>
        <w:t>The Failure of Mandated Disclosure</w:t>
      </w:r>
      <w:r w:rsidRPr="003B64AB">
        <w:rPr>
          <w:rFonts w:ascii="Century" w:hAnsi="Century" w:cs="Miriam"/>
          <w:bCs/>
          <w:spacing w:val="0"/>
          <w:szCs w:val="24"/>
        </w:rPr>
        <w:t xml:space="preserve">, 159 </w:t>
      </w:r>
      <w:r w:rsidRPr="003B64AB">
        <w:rPr>
          <w:rFonts w:ascii="Century" w:hAnsi="Century" w:cs="Miriam"/>
          <w:bCs/>
          <w:smallCaps/>
          <w:spacing w:val="0"/>
          <w:szCs w:val="24"/>
        </w:rPr>
        <w:t>Univ. Pa. L. Rev</w:t>
      </w:r>
      <w:r w:rsidRPr="003B64AB">
        <w:rPr>
          <w:rFonts w:ascii="Century" w:hAnsi="Century" w:cs="Miriam"/>
          <w:bCs/>
          <w:spacing w:val="0"/>
          <w:szCs w:val="24"/>
        </w:rPr>
        <w:t>. 647, 689</w:t>
      </w:r>
      <w:r>
        <w:rPr>
          <w:rFonts w:ascii="Century" w:hAnsi="Century" w:cs="Miriam"/>
          <w:bCs/>
          <w:spacing w:val="0"/>
          <w:szCs w:val="24"/>
        </w:rPr>
        <w:t>-690 (</w:t>
      </w:r>
      <w:r w:rsidRPr="00D85B25">
        <w:rPr>
          <w:rFonts w:ascii="Century" w:hAnsi="Century" w:cs="Miriam"/>
          <w:bCs/>
          <w:spacing w:val="0"/>
          <w:szCs w:val="24"/>
        </w:rPr>
        <w:t>2011</w:t>
      </w:r>
      <w:r>
        <w:rPr>
          <w:rFonts w:ascii="Century" w:hAnsi="Century" w:cs="Miriam"/>
          <w:bCs/>
          <w:spacing w:val="0"/>
          <w:szCs w:val="24"/>
        </w:rPr>
        <w:t>)</w:t>
      </w:r>
      <w:r>
        <w:rPr>
          <w:rFonts w:hint="cs"/>
          <w:rtl/>
        </w:rPr>
        <w:t>)</w:t>
      </w:r>
      <w:r w:rsidRPr="00CA36E8">
        <w:rPr>
          <w:rFonts w:hint="cs"/>
          <w:rtl/>
        </w:rPr>
        <w:t>.</w:t>
      </w:r>
      <w:r>
        <w:rPr>
          <w:rFonts w:hint="cs"/>
          <w:rtl/>
        </w:rPr>
        <w:t xml:space="preserve"> </w:t>
      </w:r>
    </w:p>
    <w:p w:rsidR="006B4623" w:rsidRDefault="006B4623" w:rsidP="006B4623">
      <w:pPr>
        <w:pStyle w:val="Ruller41"/>
        <w:rPr>
          <w:rtl/>
        </w:rPr>
      </w:pPr>
    </w:p>
    <w:p w:rsidR="006B4623" w:rsidRPr="00EF18CF" w:rsidRDefault="006B4623" w:rsidP="006B4623">
      <w:pPr>
        <w:pStyle w:val="Ruller41"/>
        <w:rPr>
          <w:rtl/>
        </w:rPr>
      </w:pPr>
      <w:r>
        <w:rPr>
          <w:rFonts w:hint="cs"/>
          <w:rtl/>
        </w:rPr>
        <w:t>7.</w:t>
      </w:r>
      <w:r>
        <w:rPr>
          <w:rtl/>
        </w:rPr>
        <w:tab/>
      </w:r>
      <w:r>
        <w:rPr>
          <w:rFonts w:hint="cs"/>
          <w:rtl/>
        </w:rPr>
        <w:t xml:space="preserve">באשר לסעד הראוי, יש להודות: </w:t>
      </w:r>
      <w:r w:rsidRPr="00EF18CF">
        <w:rPr>
          <w:rFonts w:hint="cs"/>
          <w:rtl/>
        </w:rPr>
        <w:t>התרופה שקבע המחוקק בסעיף 13א(ג)(1) לחוק לאי מתן הודעת סיום הטבה</w:t>
      </w:r>
      <w:r>
        <w:rPr>
          <w:rFonts w:hint="cs"/>
          <w:rtl/>
        </w:rPr>
        <w:t xml:space="preserve"> </w:t>
      </w:r>
      <w:r>
        <w:rPr>
          <w:rtl/>
        </w:rPr>
        <w:t>–</w:t>
      </w:r>
      <w:r w:rsidRPr="00EF18CF">
        <w:rPr>
          <w:rFonts w:hint="cs"/>
          <w:rtl/>
        </w:rPr>
        <w:t xml:space="preserve"> הפסקת ההתקשרות בכללותה</w:t>
      </w:r>
      <w:r>
        <w:rPr>
          <w:rFonts w:hint="cs"/>
          <w:rtl/>
        </w:rPr>
        <w:t xml:space="preserve"> </w:t>
      </w:r>
      <w:r>
        <w:rPr>
          <w:rtl/>
        </w:rPr>
        <w:t>–</w:t>
      </w:r>
      <w:r w:rsidRPr="00EF18CF">
        <w:rPr>
          <w:rFonts w:hint="cs"/>
          <w:rtl/>
        </w:rPr>
        <w:t xml:space="preserve"> היא תרופה מחמירה. משמעותה כי התקשרות שיתכן מאד ששני הצדדים סברו כי קיימת ביניהם, </w:t>
      </w:r>
      <w:r w:rsidRPr="00EF18CF">
        <w:rPr>
          <w:rFonts w:hint="cs"/>
          <w:rtl/>
        </w:rPr>
        <w:lastRenderedPageBreak/>
        <w:t xml:space="preserve">תוגדר בדיעבד כבטלה, על כל המשתמע מכך </w:t>
      </w:r>
      <w:r w:rsidRPr="00EF18CF">
        <w:rPr>
          <w:rtl/>
        </w:rPr>
        <w:t>–</w:t>
      </w:r>
      <w:r w:rsidRPr="00EF18CF">
        <w:rPr>
          <w:rFonts w:hint="cs"/>
          <w:rtl/>
        </w:rPr>
        <w:t xml:space="preserve"> ובראש ובראשונה, חובת ההשבה של טובות ההנאה שניתנו על פי חוזה בטל, המהווה חלק מדיני עשיית עושר ולא במשפט (ראו דניאל פרידמן ואלרן שפירא בר-אור </w:t>
      </w:r>
      <w:r w:rsidRPr="00EF18CF">
        <w:rPr>
          <w:rFonts w:ascii="Century" w:hAnsi="Century" w:cs="Miriam" w:hint="cs"/>
          <w:b/>
          <w:spacing w:val="0"/>
          <w:szCs w:val="24"/>
          <w:rtl/>
        </w:rPr>
        <w:t>דיני עשיית עושר ולא במשפט</w:t>
      </w:r>
      <w:r w:rsidRPr="00EF18CF">
        <w:rPr>
          <w:rFonts w:hint="cs"/>
          <w:rtl/>
        </w:rPr>
        <w:t xml:space="preserve"> 726-719, 776-747 (מהדורה שלישית, 2017)). אפס, לעיתים נדרש סעד מרחיק לכת על מנת להבטיח ציות של עוסקים להוראות חוקי הגנת הצרכן. וזאת נדע: ללא שיניים, דיני הגנת הצרכן יהיו למרמס. בכדי שעוסקים יכבדו אותם כערכם, כאב פגיעתם חייב לעלות על הרווח שבהפרתם. </w:t>
      </w:r>
    </w:p>
    <w:p w:rsidR="006B4623" w:rsidRPr="00EF18CF" w:rsidRDefault="006B4623" w:rsidP="006B4623">
      <w:pPr>
        <w:pStyle w:val="Ruller41"/>
        <w:rPr>
          <w:rtl/>
        </w:rPr>
      </w:pPr>
    </w:p>
    <w:p w:rsidR="006B4623" w:rsidRDefault="006B4623" w:rsidP="006B4623">
      <w:pPr>
        <w:pStyle w:val="Ruller41"/>
        <w:rPr>
          <w:rtl/>
        </w:rPr>
      </w:pPr>
      <w:r>
        <w:rPr>
          <w:rFonts w:ascii="Century" w:hAnsi="Century" w:cs="Miriam" w:hint="cs"/>
          <w:b/>
          <w:spacing w:val="0"/>
          <w:szCs w:val="24"/>
          <w:rtl/>
        </w:rPr>
        <w:t>8.</w:t>
      </w:r>
      <w:r>
        <w:rPr>
          <w:rFonts w:ascii="Century" w:hAnsi="Century" w:cs="Miriam" w:hint="cs"/>
          <w:b/>
          <w:spacing w:val="0"/>
          <w:szCs w:val="24"/>
          <w:rtl/>
        </w:rPr>
        <w:tab/>
      </w:r>
      <w:r w:rsidRPr="00EF18CF">
        <w:rPr>
          <w:rFonts w:ascii="Century" w:hAnsi="Century" w:cs="Miriam" w:hint="cs"/>
          <w:b/>
          <w:spacing w:val="0"/>
          <w:szCs w:val="24"/>
          <w:rtl/>
        </w:rPr>
        <w:t>סוף דבר</w:t>
      </w:r>
      <w:r w:rsidRPr="00EF18CF">
        <w:rPr>
          <w:rFonts w:hint="cs"/>
          <w:rtl/>
        </w:rPr>
        <w:t xml:space="preserve">, ציון דבר סיום מתן הנחת המחיר בחשבוניות הנשלחות ללקוח במהלך שלושת החודשים שלפני תום תקופת ההטבה, </w:t>
      </w:r>
      <w:r>
        <w:rPr>
          <w:rFonts w:hint="cs"/>
          <w:rtl/>
        </w:rPr>
        <w:t>הו</w:t>
      </w:r>
      <w:r w:rsidRPr="00EF18CF">
        <w:rPr>
          <w:rFonts w:hint="cs"/>
          <w:rtl/>
        </w:rPr>
        <w:t>א בגדר דרישת יידוע נוספת בה חייבת סלקום על פי סעיף 13א(ב) לחוק. ואולם עמידה בדרישה זו אינה מוציאה אותה ידי חובתה למסור כדין הודעת סיום הטבה מכוח אותו סעיף. משום כך, ראוי לאשר את התובענה גם ביחס לעילת תביעה זו.</w:t>
      </w:r>
      <w:r>
        <w:rPr>
          <w:rFonts w:hint="cs"/>
          <w:rtl/>
        </w:rPr>
        <w:t xml:space="preserve"> </w:t>
      </w:r>
    </w:p>
    <w:p w:rsidR="006B4623" w:rsidRDefault="006B4623" w:rsidP="006B4623">
      <w:pPr>
        <w:pStyle w:val="Ruller41"/>
        <w:rPr>
          <w:rtl/>
        </w:rPr>
      </w:pPr>
    </w:p>
    <w:p w:rsidR="00D76B85" w:rsidRDefault="00D76B85" w:rsidP="006B4623">
      <w:pPr>
        <w:pStyle w:val="Ruller41"/>
        <w:rPr>
          <w:rtl/>
        </w:rPr>
      </w:pPr>
    </w:p>
    <w:tbl>
      <w:tblPr>
        <w:bidiVisual/>
        <w:tblW w:w="8363" w:type="dxa"/>
        <w:tblLook w:val="01E0" w:firstRow="1" w:lastRow="1" w:firstColumn="1" w:lastColumn="1" w:noHBand="0" w:noVBand="0"/>
      </w:tblPr>
      <w:tblGrid>
        <w:gridCol w:w="2786"/>
        <w:gridCol w:w="2787"/>
        <w:gridCol w:w="2790"/>
      </w:tblGrid>
      <w:tr w:rsidR="00B03982" w:rsidTr="006B4623">
        <w:tc>
          <w:tcPr>
            <w:tcW w:w="2786" w:type="dxa"/>
            <w:shd w:val="clear" w:color="auto" w:fill="auto"/>
          </w:tcPr>
          <w:p w:rsidR="00B03982" w:rsidRDefault="00B03982" w:rsidP="00F55D0B">
            <w:pPr>
              <w:pStyle w:val="Ruller41"/>
              <w:ind w:left="720"/>
              <w:rPr>
                <w:rtl/>
              </w:rPr>
            </w:pPr>
          </w:p>
        </w:tc>
        <w:tc>
          <w:tcPr>
            <w:tcW w:w="2787" w:type="dxa"/>
            <w:shd w:val="clear" w:color="auto" w:fill="auto"/>
          </w:tcPr>
          <w:p w:rsidR="00B03982" w:rsidRDefault="00B03982" w:rsidP="00F55D0B">
            <w:pPr>
              <w:pStyle w:val="Ruller41"/>
              <w:jc w:val="center"/>
              <w:rPr>
                <w:rtl/>
              </w:rPr>
            </w:pPr>
          </w:p>
        </w:tc>
        <w:tc>
          <w:tcPr>
            <w:tcW w:w="2790" w:type="dxa"/>
            <w:shd w:val="clear" w:color="auto" w:fill="auto"/>
          </w:tcPr>
          <w:p w:rsidR="00B03982" w:rsidRDefault="00B03982" w:rsidP="00F55D0B">
            <w:pPr>
              <w:pStyle w:val="Ruller41"/>
              <w:jc w:val="right"/>
              <w:rPr>
                <w:rtl/>
              </w:rPr>
            </w:pPr>
            <w:r>
              <w:rPr>
                <w:rtl/>
              </w:rPr>
              <w:t>ש ו פ ט</w:t>
            </w:r>
          </w:p>
        </w:tc>
      </w:tr>
    </w:tbl>
    <w:p w:rsidR="00B03982" w:rsidRDefault="00B03982" w:rsidP="00AA280A">
      <w:pPr>
        <w:pStyle w:val="Ruller41"/>
        <w:rPr>
          <w:rtl/>
        </w:rPr>
      </w:pPr>
    </w:p>
    <w:p w:rsidR="00D76B85" w:rsidRDefault="00D76B85" w:rsidP="00AA280A">
      <w:pPr>
        <w:pStyle w:val="Ruller41"/>
        <w:rPr>
          <w:rtl/>
        </w:rPr>
      </w:pPr>
    </w:p>
    <w:p w:rsidR="00B03982" w:rsidRPr="00503A3E" w:rsidRDefault="00B03982" w:rsidP="00B03982">
      <w:pPr>
        <w:pStyle w:val="BODYVERDICT"/>
        <w:rPr>
          <w:rFonts w:cs="Miriam"/>
          <w:sz w:val="24"/>
          <w:szCs w:val="24"/>
          <w:u w:val="single"/>
          <w:rtl/>
        </w:rPr>
      </w:pPr>
      <w:r>
        <w:rPr>
          <w:rFonts w:cs="Miriam"/>
          <w:sz w:val="24"/>
          <w:szCs w:val="24"/>
          <w:u w:val="single"/>
          <w:rtl/>
        </w:rPr>
        <w:t>השופט ח' כבוב</w:t>
      </w:r>
      <w:r w:rsidRPr="00EE2C49">
        <w:rPr>
          <w:rFonts w:cs="Miriam"/>
          <w:sz w:val="24"/>
          <w:szCs w:val="24"/>
          <w:rtl/>
        </w:rPr>
        <w:t>:</w:t>
      </w:r>
    </w:p>
    <w:p w:rsidR="00B03982" w:rsidRDefault="00B03982" w:rsidP="00B03982">
      <w:pPr>
        <w:pStyle w:val="Ruller41"/>
        <w:rPr>
          <w:rtl/>
        </w:rPr>
      </w:pPr>
    </w:p>
    <w:p w:rsidR="00B03982" w:rsidRDefault="00B03982" w:rsidP="00B03982">
      <w:pPr>
        <w:pStyle w:val="Ruller4"/>
        <w:numPr>
          <w:ilvl w:val="0"/>
          <w:numId w:val="0"/>
        </w:numPr>
        <w:spacing w:before="240" w:after="240"/>
        <w:rPr>
          <w:rtl/>
        </w:rPr>
      </w:pPr>
      <w:r>
        <w:rPr>
          <w:rtl/>
        </w:rPr>
        <w:tab/>
        <w:t xml:space="preserve">חוות דעת מפורטת ומנומקת היטב כתבה חברתי, השופטת </w:t>
      </w:r>
      <w:r>
        <w:rPr>
          <w:rFonts w:ascii="Century" w:hAnsi="Century" w:cs="Miriam"/>
          <w:b/>
          <w:spacing w:val="0"/>
          <w:sz w:val="22"/>
          <w:szCs w:val="24"/>
          <w:rtl/>
        </w:rPr>
        <w:t>ד' ברק-ארז</w:t>
      </w:r>
      <w:r>
        <w:rPr>
          <w:rtl/>
        </w:rPr>
        <w:t xml:space="preserve">. כחברי, השופט </w:t>
      </w:r>
      <w:r>
        <w:rPr>
          <w:rFonts w:ascii="Century" w:hAnsi="Century" w:cs="Miriam"/>
          <w:b/>
          <w:spacing w:val="0"/>
          <w:sz w:val="22"/>
          <w:szCs w:val="24"/>
          <w:rtl/>
        </w:rPr>
        <w:t>ע' גרוסקופף</w:t>
      </w:r>
      <w:r>
        <w:rPr>
          <w:rFonts w:ascii="Century" w:hAnsi="Century"/>
          <w:sz w:val="22"/>
          <w:rtl/>
        </w:rPr>
        <w:t>, אף אני</w:t>
      </w:r>
      <w:r>
        <w:rPr>
          <w:rtl/>
        </w:rPr>
        <w:t xml:space="preserve"> מצטרף לתוצאתה כמו גם לעיקרי נימוקיה של חברתי. אבקש אך להעיר בתמצית כדלהלן.</w:t>
      </w:r>
    </w:p>
    <w:p w:rsidR="00B03982" w:rsidRDefault="00B03982" w:rsidP="00B03982">
      <w:pPr>
        <w:pStyle w:val="Ruller4"/>
        <w:numPr>
          <w:ilvl w:val="0"/>
          <w:numId w:val="16"/>
        </w:numPr>
        <w:tabs>
          <w:tab w:val="num" w:pos="907"/>
        </w:tabs>
        <w:spacing w:before="240" w:after="240"/>
        <w:ind w:left="0" w:firstLine="0"/>
        <w:textAlignment w:val="auto"/>
        <w:rPr>
          <w:rtl/>
        </w:rPr>
      </w:pPr>
      <w:r>
        <w:rPr>
          <w:rtl/>
        </w:rPr>
        <w:t xml:space="preserve">כחבריי, וכבית משפט קמא, אף אני סבור כי סעיף 13א(ב) לחוק הגנת הצרכן, התשמ"א-1981 (להלן: </w:t>
      </w:r>
      <w:r>
        <w:rPr>
          <w:rFonts w:ascii="Century" w:hAnsi="Century" w:cs="Miriam"/>
          <w:b/>
          <w:spacing w:val="0"/>
          <w:sz w:val="22"/>
          <w:szCs w:val="24"/>
          <w:rtl/>
        </w:rPr>
        <w:t>החוק</w:t>
      </w:r>
      <w:r>
        <w:rPr>
          <w:rtl/>
        </w:rPr>
        <w:t xml:space="preserve">) מחייב משלוח הודעה עצמאית ונפרדת (להלן: </w:t>
      </w:r>
      <w:r>
        <w:rPr>
          <w:rFonts w:ascii="Century" w:hAnsi="Century" w:cs="Miriam"/>
          <w:b/>
          <w:spacing w:val="0"/>
          <w:szCs w:val="24"/>
          <w:rtl/>
        </w:rPr>
        <w:t>ההודעה העצמאית</w:t>
      </w:r>
      <w:r>
        <w:rPr>
          <w:rFonts w:ascii="Century" w:hAnsi="Century"/>
          <w:rtl/>
        </w:rPr>
        <w:t>)</w:t>
      </w:r>
      <w:r>
        <w:rPr>
          <w:rtl/>
        </w:rPr>
        <w:t xml:space="preserve">, מעבר לדרכי הציון הקבועות </w:t>
      </w:r>
      <w:proofErr w:type="spellStart"/>
      <w:r>
        <w:rPr>
          <w:rtl/>
        </w:rPr>
        <w:t>בס"ק</w:t>
      </w:r>
      <w:proofErr w:type="spellEnd"/>
      <w:r>
        <w:rPr>
          <w:rtl/>
        </w:rPr>
        <w:t xml:space="preserve"> (1)-(3). לדידי, מסקנה זו עולה בבירור מלשון החוק, הקובע כי "המועד האמור [בהודעה – ח.כ.] יצוין </w:t>
      </w:r>
      <w:r>
        <w:rPr>
          <w:rFonts w:ascii="Century" w:hAnsi="Century" w:cs="Miriam"/>
          <w:b/>
          <w:spacing w:val="0"/>
          <w:sz w:val="22"/>
          <w:szCs w:val="24"/>
          <w:rtl/>
        </w:rPr>
        <w:t>גם</w:t>
      </w:r>
      <w:r>
        <w:rPr>
          <w:rtl/>
        </w:rPr>
        <w:t xml:space="preserve"> בכל אחד מאלה" [הדגשה הוספה – ח.כ.]. ברי אפוא כי דרכי הציון הקבועות </w:t>
      </w:r>
      <w:proofErr w:type="spellStart"/>
      <w:r>
        <w:rPr>
          <w:rtl/>
        </w:rPr>
        <w:t>בס"ק</w:t>
      </w:r>
      <w:proofErr w:type="spellEnd"/>
      <w:r>
        <w:rPr>
          <w:rtl/>
        </w:rPr>
        <w:t xml:space="preserve"> (1)-(3), הן </w:t>
      </w:r>
      <w:r>
        <w:rPr>
          <w:rFonts w:ascii="Century" w:hAnsi="Century" w:cs="Miriam"/>
          <w:b/>
          <w:spacing w:val="0"/>
          <w:sz w:val="22"/>
          <w:szCs w:val="24"/>
          <w:rtl/>
        </w:rPr>
        <w:t>בנוסף</w:t>
      </w:r>
      <w:r>
        <w:rPr>
          <w:rtl/>
        </w:rPr>
        <w:t xml:space="preserve"> על ההודעה הנדרשת בהתאם לסעיף 13א(ב) רישא, וכי סלקום הפרה את הדין כאשר נמנעה ממשלוח ההודעה העצמאית בתוך תקופת ההודעה (להלן: </w:t>
      </w:r>
      <w:r>
        <w:rPr>
          <w:rFonts w:ascii="Century" w:hAnsi="Century" w:cs="Miriam"/>
          <w:b/>
          <w:spacing w:val="0"/>
          <w:szCs w:val="24"/>
          <w:rtl/>
        </w:rPr>
        <w:t>מישור ההפרה</w:t>
      </w:r>
      <w:r>
        <w:rPr>
          <w:rFonts w:ascii="Century" w:hAnsi="Century"/>
          <w:rtl/>
        </w:rPr>
        <w:t>)</w:t>
      </w:r>
      <w:r>
        <w:rPr>
          <w:rtl/>
        </w:rPr>
        <w:t>.</w:t>
      </w:r>
    </w:p>
    <w:p w:rsidR="00B03982" w:rsidRDefault="00B03982" w:rsidP="00B03982">
      <w:pPr>
        <w:pStyle w:val="Ruller4"/>
        <w:numPr>
          <w:ilvl w:val="0"/>
          <w:numId w:val="16"/>
        </w:numPr>
        <w:tabs>
          <w:tab w:val="num" w:pos="907"/>
        </w:tabs>
        <w:spacing w:before="240" w:after="240"/>
        <w:ind w:left="0" w:firstLine="0"/>
        <w:textAlignment w:val="auto"/>
      </w:pPr>
      <w:r>
        <w:rPr>
          <w:rtl/>
        </w:rPr>
        <w:t xml:space="preserve">השאלה המורכבת יותר הדורשת את הכרעתנו, היא אם החריג הקבוע בסעיף 13א(ד)(2)(ב) לחוק 'נכנס לפעולה', מקום בו עוסק ציין בחשבונית, בתוך "תקופת </w:t>
      </w:r>
      <w:r>
        <w:rPr>
          <w:rtl/>
        </w:rPr>
        <w:lastRenderedPageBreak/>
        <w:t xml:space="preserve">ההודעה", </w:t>
      </w:r>
      <w:r>
        <w:rPr>
          <w:rFonts w:ascii="Arial TUR" w:hAnsi="Arial TUR"/>
          <w:sz w:val="22"/>
          <w:rtl/>
        </w:rPr>
        <w:t xml:space="preserve">על אודות מועד סיום </w:t>
      </w:r>
      <w:r>
        <w:rPr>
          <w:rtl/>
        </w:rPr>
        <w:t>ההטבה שניתנה לתקופה קצובה, תוך פירוט תנאי העסקה. האם במקרה כזה החוזה שנכרת בין הצדדים בטל, כמצוות סעיף 13א(ג)(1) לחוק? או שמא חשבונית זו עולה בגדר "הודעה", כמשמעותה בסעיף 13א(ד)(2)(ב) לחוק, ועל כן החוזה בין הצדדים שריר וקיים.</w:t>
      </w:r>
    </w:p>
    <w:p w:rsidR="00B03982" w:rsidRDefault="00B03982" w:rsidP="00B03982">
      <w:pPr>
        <w:pStyle w:val="Ruller4"/>
        <w:numPr>
          <w:ilvl w:val="0"/>
          <w:numId w:val="0"/>
        </w:numPr>
        <w:spacing w:before="240" w:after="240"/>
        <w:rPr>
          <w:rtl/>
        </w:rPr>
      </w:pPr>
      <w:r>
        <w:rPr>
          <w:rtl/>
        </w:rPr>
        <w:tab/>
        <w:t xml:space="preserve">בסופו של דבר, מקובלת עליי מסקנת חבריי, מטעמיהם (ראו: פסקאות 42-39 לחוות דעתה של השופטת </w:t>
      </w:r>
      <w:r>
        <w:rPr>
          <w:rFonts w:ascii="Century" w:hAnsi="Century" w:cs="Miriam"/>
          <w:b/>
          <w:spacing w:val="0"/>
          <w:sz w:val="22"/>
          <w:szCs w:val="24"/>
          <w:rtl/>
        </w:rPr>
        <w:t>ברק-ארז</w:t>
      </w:r>
      <w:r>
        <w:rPr>
          <w:rFonts w:ascii="Century" w:hAnsi="Century"/>
          <w:sz w:val="22"/>
          <w:rtl/>
        </w:rPr>
        <w:t>;</w:t>
      </w:r>
      <w:r>
        <w:rPr>
          <w:rFonts w:ascii="Century" w:hAnsi="Century" w:cs="Miriam"/>
          <w:b/>
          <w:spacing w:val="0"/>
          <w:sz w:val="22"/>
          <w:szCs w:val="24"/>
          <w:rtl/>
        </w:rPr>
        <w:t xml:space="preserve"> </w:t>
      </w:r>
      <w:r>
        <w:rPr>
          <w:rFonts w:ascii="Century" w:hAnsi="Century"/>
          <w:sz w:val="22"/>
          <w:rtl/>
        </w:rPr>
        <w:t xml:space="preserve">ופסקאות 6-4 לחוות דעתו של השופט </w:t>
      </w:r>
      <w:r>
        <w:rPr>
          <w:rFonts w:ascii="Century" w:hAnsi="Century" w:cs="Miriam"/>
          <w:b/>
          <w:spacing w:val="0"/>
          <w:sz w:val="22"/>
          <w:szCs w:val="24"/>
          <w:rtl/>
        </w:rPr>
        <w:t>גרוסקופף</w:t>
      </w:r>
      <w:r>
        <w:rPr>
          <w:rFonts w:ascii="Century" w:hAnsi="Century"/>
          <w:sz w:val="22"/>
          <w:rtl/>
        </w:rPr>
        <w:t>)</w:t>
      </w:r>
      <w:r>
        <w:rPr>
          <w:rtl/>
        </w:rPr>
        <w:t>, כי ההפניה בסעיף 13א(ד)(2)(ב) ל"</w:t>
      </w:r>
      <w:r>
        <w:rPr>
          <w:rFonts w:ascii="Arial TUR" w:hAnsi="Arial TUR"/>
          <w:sz w:val="22"/>
          <w:rtl/>
        </w:rPr>
        <w:t>ה</w:t>
      </w:r>
      <w:r>
        <w:rPr>
          <w:rtl/>
        </w:rPr>
        <w:t xml:space="preserve">ודעה בהתאם להוראות סעיף קטן (ב)", מתייחסת להודעה העצמאית הקבועה בסעיף 13א(ב) רישא, ומשכך אין די בציון מועד סיום העסקה במסגרת החשבונית בלבד (לפי סעיף 13א(ב)(2) לחוק), כדי לעמוד בחריג הקבוע בסעיף 13א(ד)(2)(ב) לחוק (להלן: </w:t>
      </w:r>
      <w:r>
        <w:rPr>
          <w:rFonts w:ascii="Century" w:hAnsi="Century" w:cs="Miriam"/>
          <w:b/>
          <w:spacing w:val="0"/>
          <w:szCs w:val="24"/>
          <w:rtl/>
        </w:rPr>
        <w:t>מישור הסנקציה</w:t>
      </w:r>
      <w:r>
        <w:rPr>
          <w:rFonts w:ascii="Century" w:hAnsi="Century"/>
          <w:rtl/>
        </w:rPr>
        <w:t>)</w:t>
      </w:r>
      <w:r>
        <w:rPr>
          <w:rtl/>
        </w:rPr>
        <w:t>.</w:t>
      </w:r>
    </w:p>
    <w:p w:rsidR="00B03982" w:rsidRDefault="00B03982" w:rsidP="00B03982">
      <w:pPr>
        <w:pStyle w:val="Ruller4"/>
        <w:numPr>
          <w:ilvl w:val="0"/>
          <w:numId w:val="16"/>
        </w:numPr>
        <w:tabs>
          <w:tab w:val="num" w:pos="907"/>
        </w:tabs>
        <w:spacing w:before="240" w:after="240"/>
        <w:ind w:left="0" w:firstLine="0"/>
        <w:textAlignment w:val="auto"/>
        <w:rPr>
          <w:rtl/>
        </w:rPr>
      </w:pPr>
      <w:r>
        <w:rPr>
          <w:rtl/>
        </w:rPr>
        <w:t xml:space="preserve">אשר לתחולה בזמן של פסק דיננו. סלקום טענה לפנינו כי היא פעלה "על בסיס </w:t>
      </w:r>
      <w:r>
        <w:rPr>
          <w:rFonts w:ascii="Century" w:hAnsi="Century"/>
          <w:sz w:val="22"/>
          <w:rtl/>
        </w:rPr>
        <w:t>פרשנות לגיטימית וסבירה של הוראות הדין, או במצב של אי-בהירות בדין"</w:t>
      </w:r>
      <w:r>
        <w:rPr>
          <w:rtl/>
        </w:rPr>
        <w:t xml:space="preserve"> (סעיף 15 להשלמת הטיעון מטעמה); וכי במצבים דומים הפסיקה הכירה באינטרס ההסתמכות ככזה שעשוי להצדיק את החלת הקביעה השיפוטית באשר לפרשנות הדין מכאן ואילך.</w:t>
      </w:r>
    </w:p>
    <w:p w:rsidR="00B03982" w:rsidRDefault="00B03982" w:rsidP="00B03982">
      <w:pPr>
        <w:pStyle w:val="Ruller4"/>
        <w:numPr>
          <w:ilvl w:val="0"/>
          <w:numId w:val="0"/>
        </w:numPr>
        <w:spacing w:before="240" w:after="240"/>
      </w:pPr>
      <w:r>
        <w:rPr>
          <w:rtl/>
        </w:rPr>
        <w:tab/>
        <w:t xml:space="preserve">אודה ולא אכחד, כי הרהרתי תחילה, אם לא היה מקום לקבוע בנסיבות ענייננו כי קביעתנו ביחס למישור הסנקציה, תחול אך באופן פרוספקטיבי (ראו לדוגמה: רע"א 2453/13 </w:t>
      </w:r>
      <w:r>
        <w:rPr>
          <w:rFonts w:ascii="Century" w:hAnsi="Century" w:cs="Miriam"/>
          <w:b/>
          <w:spacing w:val="0"/>
          <w:sz w:val="22"/>
          <w:szCs w:val="24"/>
          <w:rtl/>
        </w:rPr>
        <w:t>עמר נ' עיריית חדרה</w:t>
      </w:r>
      <w:r>
        <w:rPr>
          <w:rtl/>
        </w:rPr>
        <w:t xml:space="preserve">, פסקאות 47-38 (14.04.2015)). זאת בשים לב לחריפות הסנקציה הקבועה בגדרי סעיף 13א(ג)(1) לחוק; ולעמימות המסוימת ששררה ביחס למשמעות התיבה "הודעה" בגדר סעיף 13א(ד)(2)(ב) לחוק, כפי שאף עולה מפסק דינו של בית משפט קמא. </w:t>
      </w:r>
    </w:p>
    <w:p w:rsidR="00B03982" w:rsidRDefault="00B03982" w:rsidP="00B03982">
      <w:pPr>
        <w:pStyle w:val="Ruller4"/>
        <w:numPr>
          <w:ilvl w:val="0"/>
          <w:numId w:val="0"/>
        </w:numPr>
        <w:spacing w:before="240" w:after="240"/>
      </w:pPr>
      <w:r>
        <w:rPr>
          <w:rtl/>
        </w:rPr>
        <w:tab/>
        <w:t>עם זאת, לאחר שהפכתי בדבר, מצאתי להצטרף לדעת חבריי גם בהקשר זה, ואבאר.</w:t>
      </w:r>
    </w:p>
    <w:p w:rsidR="00B03982" w:rsidRDefault="00B03982" w:rsidP="00B03982">
      <w:pPr>
        <w:pStyle w:val="Ruller4"/>
        <w:numPr>
          <w:ilvl w:val="0"/>
          <w:numId w:val="16"/>
        </w:numPr>
        <w:tabs>
          <w:tab w:val="num" w:pos="907"/>
        </w:tabs>
        <w:spacing w:before="240" w:after="240"/>
        <w:ind w:left="0" w:firstLine="0"/>
        <w:textAlignment w:val="auto"/>
        <w:rPr>
          <w:rtl/>
        </w:rPr>
      </w:pPr>
      <w:r>
        <w:rPr>
          <w:rtl/>
        </w:rPr>
        <w:t xml:space="preserve">פסק דינו בית משפט קמא ניתן כבר ביום 21.04.2020 ובגדרו נקבע, באופן שאינו משתמע לשני פנים, כי סלקום מפרה את מצוות סעיף 13א(ב) בכל הקשור לחובתה </w:t>
      </w:r>
      <w:proofErr w:type="spellStart"/>
      <w:r>
        <w:rPr>
          <w:rtl/>
        </w:rPr>
        <w:t>ליתן</w:t>
      </w:r>
      <w:proofErr w:type="spellEnd"/>
      <w:r>
        <w:rPr>
          <w:rtl/>
        </w:rPr>
        <w:t xml:space="preserve">, בתוך "תקופת ההודעה", הודעה עצמאית בדבר מועד סיום תקופת ההטבה. כאמור, בסוגיה זו לא מצאתי שהייתה קיימת עמימות כלשהי, שכן הוראת החוק בהקשר זה ברורה וחד משמעית. בנסיבות אלו, קשה להלום את טענת סלקום כי היא פעלה על בסיס </w:t>
      </w:r>
      <w:r>
        <w:rPr>
          <w:rFonts w:ascii="Century" w:hAnsi="Century" w:cs="Miriam"/>
          <w:b/>
          <w:spacing w:val="0"/>
          <w:sz w:val="22"/>
          <w:szCs w:val="24"/>
          <w:rtl/>
        </w:rPr>
        <w:t>פרשנות לגיטימית וסבירה של הוראות הדין</w:t>
      </w:r>
      <w:r>
        <w:rPr>
          <w:rtl/>
        </w:rPr>
        <w:t xml:space="preserve">, או במצב של </w:t>
      </w:r>
      <w:r>
        <w:rPr>
          <w:rFonts w:ascii="Century" w:hAnsi="Century" w:cs="Miriam"/>
          <w:b/>
          <w:spacing w:val="0"/>
          <w:sz w:val="22"/>
          <w:szCs w:val="24"/>
          <w:rtl/>
        </w:rPr>
        <w:t>אי-בהירות בדין</w:t>
      </w:r>
      <w:r>
        <w:rPr>
          <w:rtl/>
        </w:rPr>
        <w:t xml:space="preserve">. </w:t>
      </w:r>
    </w:p>
    <w:p w:rsidR="00B03982" w:rsidRDefault="00B03982" w:rsidP="00B03982">
      <w:pPr>
        <w:pStyle w:val="Ruller4"/>
        <w:numPr>
          <w:ilvl w:val="0"/>
          <w:numId w:val="16"/>
        </w:numPr>
        <w:tabs>
          <w:tab w:val="num" w:pos="907"/>
        </w:tabs>
        <w:spacing w:before="240" w:after="240"/>
        <w:ind w:left="0" w:firstLine="0"/>
        <w:textAlignment w:val="auto"/>
      </w:pPr>
      <w:r>
        <w:rPr>
          <w:rtl/>
        </w:rPr>
        <w:t xml:space="preserve">ודוק. חרף האמור, בדיון שהתקיים לפנינו ביום 19.12.2022, התברר, כי סלקום מוסיפה להפר את הדין, ועודנה נמנעת ממשלוח הודעה עצמאית כנדרש (ראו: עמודים </w:t>
      </w:r>
      <w:r>
        <w:rPr>
          <w:rtl/>
        </w:rPr>
        <w:lastRenderedPageBreak/>
        <w:t xml:space="preserve">6-5 לפרוטוקול הדיון). ניתן רק להניח כי סלקום בחרה לעשות כן, לאחר שניהלה הליך מושכל של הערכת סיכונים, ומבלי שנעלם מעיניה, כי קיים סיכוי של ממש שטענותיה בהקשר זה – יידחו. לא מן הנמנע כי סלקום אף סברה שמשלוח הודעה עצמאית עשוי לסייע ללקוחותיה לקבל החלטה מושכלת בקשר להמשך ההתקשרות עמה, ובחרה מטעמיה שלא לעשות כן.  </w:t>
      </w:r>
    </w:p>
    <w:p w:rsidR="00B03982" w:rsidRDefault="00B03982" w:rsidP="00B03982">
      <w:pPr>
        <w:pStyle w:val="Ruller4"/>
        <w:numPr>
          <w:ilvl w:val="0"/>
          <w:numId w:val="16"/>
        </w:numPr>
        <w:tabs>
          <w:tab w:val="num" w:pos="907"/>
        </w:tabs>
        <w:spacing w:before="240" w:after="240"/>
        <w:ind w:left="0" w:firstLine="0"/>
        <w:textAlignment w:val="auto"/>
        <w:rPr>
          <w:rtl/>
        </w:rPr>
      </w:pPr>
      <w:r>
        <w:rPr>
          <w:rtl/>
        </w:rPr>
        <w:t>כפי שציינתי לעיל, גם אם ניתן היה לפרש את הוראות החוק, ב</w:t>
      </w:r>
      <w:r>
        <w:rPr>
          <w:rFonts w:ascii="Century" w:hAnsi="Century" w:cs="Miriam"/>
          <w:b/>
          <w:spacing w:val="0"/>
          <w:sz w:val="22"/>
          <w:szCs w:val="24"/>
          <w:rtl/>
        </w:rPr>
        <w:t>מישור הסנקציה</w:t>
      </w:r>
      <w:r>
        <w:rPr>
          <w:rtl/>
        </w:rPr>
        <w:t>, כפי שסלקום פירשה אותם; אין הדבר כן ביחס ל</w:t>
      </w:r>
      <w:r>
        <w:rPr>
          <w:rFonts w:ascii="Century" w:hAnsi="Century" w:cs="Miriam"/>
          <w:b/>
          <w:spacing w:val="0"/>
          <w:sz w:val="22"/>
          <w:szCs w:val="24"/>
          <w:rtl/>
        </w:rPr>
        <w:t>מישור ההפרה</w:t>
      </w:r>
      <w:r>
        <w:rPr>
          <w:rtl/>
        </w:rPr>
        <w:t xml:space="preserve">. בנסיבות אלו, איני סבור כי 'שיקולי הסתמכות' מטים את הכף לעבר הכרעה כי קביעתנו במישור הסנקציה תחול רק מכאן ולהבא. משסלקום פעלה, משיקוליה שלה, באופן החותר תחת תכלית תיקון מס' 22 לחוק (כפי שזו הוסברה בפסקאות 34-33 לחוות דעתה של השופטת </w:t>
      </w:r>
      <w:r>
        <w:rPr>
          <w:rFonts w:ascii="Century" w:hAnsi="Century" w:cs="Miriam"/>
          <w:b/>
          <w:spacing w:val="0"/>
          <w:sz w:val="22"/>
          <w:szCs w:val="24"/>
          <w:rtl/>
        </w:rPr>
        <w:t>ברק-ארז</w:t>
      </w:r>
      <w:r>
        <w:rPr>
          <w:rtl/>
        </w:rPr>
        <w:t>), תוך פגיעה ביכולתם של לקוחותיה לקבל החלטה מושכלת בדבר המשך התקשרותם עמה לאחר מועד סיום ההטבה – אין לה להלין אלא על עצמה.</w:t>
      </w:r>
    </w:p>
    <w:p w:rsidR="00B03982" w:rsidRDefault="00B03982" w:rsidP="00B03982">
      <w:pPr>
        <w:pStyle w:val="Ruller4"/>
        <w:numPr>
          <w:ilvl w:val="0"/>
          <w:numId w:val="16"/>
        </w:numPr>
        <w:tabs>
          <w:tab w:val="num" w:pos="907"/>
        </w:tabs>
        <w:spacing w:before="240" w:after="240"/>
        <w:ind w:left="0" w:firstLine="0"/>
        <w:textAlignment w:val="auto"/>
        <w:rPr>
          <w:rtl/>
        </w:rPr>
      </w:pPr>
      <w:r>
        <w:rPr>
          <w:rtl/>
        </w:rPr>
        <w:t xml:space="preserve">טרם חתימה אבקש להתייחס, בקצירת האומר, לטענת סלקום שלפיה השימוש בסעיף 13א(ג)(1) לחוק, בענייננו, הוא "בגדר פיצוי עונשי ולדוגמה" (פסקה 10 להשלמת הטיעון מטעמה), ועל כן, לא ניתן לפסוק בגינו פיצויים במסגרת תובענה ייצוגית (סעיף 20(ה) לחוק תובענות ייצוגיות, התשס"ו-2006). מחוות דעתה של השופטת </w:t>
      </w:r>
      <w:r>
        <w:rPr>
          <w:rFonts w:ascii="Century" w:hAnsi="Century" w:cs="Miriam"/>
          <w:b/>
          <w:spacing w:val="0"/>
          <w:sz w:val="22"/>
          <w:szCs w:val="24"/>
          <w:rtl/>
        </w:rPr>
        <w:t>ברק-ארז</w:t>
      </w:r>
      <w:r>
        <w:rPr>
          <w:rtl/>
        </w:rPr>
        <w:t xml:space="preserve"> עולה כי היא סבורה ש"המשוכה שבפניה ניצבת סלקום בהקשר זה היא לכאורה גבוהה" (פסקה 47 לחוות דעתה). ואולם, כשלעצמי, אני סבור כי לטענת סלקום יש פנים לכאן ולכאן, וטוב נעשה אם נותיר את ההכרעה בשאלה זו לבית המשפט המחוזי, אשר ידון בתובענה הייצוגית לגופה. שכן, קיימת אפשרות סבירה שייקבע, בסופו של דבר, כי נגרם לחברי הקבוצה נזק, גם אם כעת לא ניתן לאמוד את גובהו.</w:t>
      </w:r>
    </w:p>
    <w:p w:rsidR="00B03982" w:rsidRPr="00B03982" w:rsidRDefault="00B03982" w:rsidP="00B03982">
      <w:pPr>
        <w:pStyle w:val="Ruller41"/>
        <w:rPr>
          <w:rtl/>
        </w:rPr>
      </w:pPr>
    </w:p>
    <w:tbl>
      <w:tblPr>
        <w:bidiVisual/>
        <w:tblW w:w="8363" w:type="dxa"/>
        <w:tblLook w:val="01E0" w:firstRow="1" w:lastRow="1" w:firstColumn="1" w:lastColumn="1" w:noHBand="0" w:noVBand="0"/>
      </w:tblPr>
      <w:tblGrid>
        <w:gridCol w:w="2786"/>
        <w:gridCol w:w="2787"/>
        <w:gridCol w:w="2790"/>
      </w:tblGrid>
      <w:tr w:rsidR="00B03982" w:rsidTr="00F55D0B">
        <w:tc>
          <w:tcPr>
            <w:tcW w:w="2842" w:type="dxa"/>
            <w:shd w:val="clear" w:color="auto" w:fill="auto"/>
          </w:tcPr>
          <w:p w:rsidR="00B03982" w:rsidRDefault="00B03982" w:rsidP="00B03982">
            <w:pPr>
              <w:pStyle w:val="Ruller41"/>
              <w:ind w:left="720"/>
              <w:rPr>
                <w:rtl/>
              </w:rPr>
            </w:pPr>
          </w:p>
        </w:tc>
        <w:tc>
          <w:tcPr>
            <w:tcW w:w="2843" w:type="dxa"/>
            <w:shd w:val="clear" w:color="auto" w:fill="auto"/>
          </w:tcPr>
          <w:p w:rsidR="00B03982" w:rsidRDefault="00B03982" w:rsidP="00F55D0B">
            <w:pPr>
              <w:pStyle w:val="Ruller41"/>
              <w:jc w:val="center"/>
              <w:rPr>
                <w:rtl/>
              </w:rPr>
            </w:pPr>
          </w:p>
        </w:tc>
        <w:tc>
          <w:tcPr>
            <w:tcW w:w="2843" w:type="dxa"/>
            <w:shd w:val="clear" w:color="auto" w:fill="auto"/>
          </w:tcPr>
          <w:p w:rsidR="00B03982" w:rsidRDefault="00B03982" w:rsidP="00F55D0B">
            <w:pPr>
              <w:pStyle w:val="Ruller41"/>
              <w:jc w:val="right"/>
              <w:rPr>
                <w:rtl/>
              </w:rPr>
            </w:pPr>
            <w:r>
              <w:rPr>
                <w:rtl/>
              </w:rPr>
              <w:t>ש ו פ ט</w:t>
            </w:r>
          </w:p>
        </w:tc>
      </w:tr>
    </w:tbl>
    <w:p w:rsidR="00B03982" w:rsidRPr="00D00BCF" w:rsidRDefault="00B03982" w:rsidP="00B03982">
      <w:pPr>
        <w:pStyle w:val="Ruller41"/>
        <w:rPr>
          <w:sz w:val="8"/>
          <w:szCs w:val="2"/>
          <w:rtl/>
        </w:rPr>
      </w:pPr>
    </w:p>
    <w:p w:rsidR="00B03982" w:rsidRDefault="00B03982" w:rsidP="00B03982">
      <w:pPr>
        <w:pStyle w:val="Ruller41"/>
        <w:rPr>
          <w:rtl/>
        </w:rPr>
      </w:pPr>
    </w:p>
    <w:p w:rsidR="00B03982" w:rsidRDefault="00B03982" w:rsidP="00B03982">
      <w:pPr>
        <w:pStyle w:val="Ruller41"/>
        <w:rPr>
          <w:rtl/>
        </w:rPr>
      </w:pPr>
      <w:r>
        <w:rPr>
          <w:rtl/>
        </w:rPr>
        <w:tab/>
      </w:r>
    </w:p>
    <w:p w:rsidR="00B03982" w:rsidRDefault="00B03982" w:rsidP="00D76B85">
      <w:pPr>
        <w:pStyle w:val="Ruller41"/>
        <w:rPr>
          <w:rtl/>
        </w:rPr>
      </w:pPr>
      <w:r>
        <w:rPr>
          <w:rtl/>
        </w:rPr>
        <w:tab/>
      </w:r>
      <w:r>
        <w:rPr>
          <w:rFonts w:hint="cs"/>
          <w:rtl/>
        </w:rPr>
        <w:t>הוחלט לקבל את הע</w:t>
      </w:r>
      <w:bookmarkStart w:id="5" w:name="_GoBack"/>
      <w:bookmarkEnd w:id="5"/>
      <w:r>
        <w:rPr>
          <w:rFonts w:hint="cs"/>
          <w:rtl/>
        </w:rPr>
        <w:t xml:space="preserve">רעור כאמור בפסק דינה של השופטת </w:t>
      </w:r>
      <w:r w:rsidRPr="00B03982">
        <w:rPr>
          <w:rFonts w:ascii="Century" w:hAnsi="Century" w:cs="Miriam" w:hint="cs"/>
          <w:b/>
          <w:spacing w:val="0"/>
          <w:szCs w:val="24"/>
          <w:rtl/>
        </w:rPr>
        <w:t>ד' ברק-ארז</w:t>
      </w:r>
      <w:r>
        <w:rPr>
          <w:rFonts w:hint="cs"/>
          <w:rtl/>
        </w:rPr>
        <w:t>.</w:t>
      </w:r>
    </w:p>
    <w:p w:rsidR="00B03982" w:rsidRPr="00B03982" w:rsidRDefault="00B03982" w:rsidP="00B03982">
      <w:pPr>
        <w:pStyle w:val="Ruller41"/>
        <w:rPr>
          <w:rtl/>
        </w:rPr>
      </w:pPr>
    </w:p>
    <w:p w:rsidR="00B03982" w:rsidRDefault="00B03982" w:rsidP="00B03982">
      <w:pPr>
        <w:pStyle w:val="Ruller41"/>
        <w:rPr>
          <w:rtl/>
        </w:rPr>
      </w:pPr>
      <w:r>
        <w:rPr>
          <w:rtl/>
        </w:rPr>
        <w:tab/>
        <w:t xml:space="preserve">ניתן היום, </w:t>
      </w:r>
      <w:r>
        <w:rPr>
          <w:rFonts w:hint="eastAsia"/>
          <w:rtl/>
        </w:rPr>
        <w:t>‏</w:t>
      </w:r>
      <w:r>
        <w:rPr>
          <w:rFonts w:hint="cs"/>
          <w:rtl/>
        </w:rPr>
        <w:t>י</w:t>
      </w:r>
      <w:r>
        <w:rPr>
          <w:rtl/>
        </w:rPr>
        <w:t xml:space="preserve">' בסיון </w:t>
      </w:r>
      <w:proofErr w:type="spellStart"/>
      <w:r>
        <w:rPr>
          <w:rtl/>
        </w:rPr>
        <w:t>התשפ"ג</w:t>
      </w:r>
      <w:proofErr w:type="spellEnd"/>
      <w:r>
        <w:rPr>
          <w:rtl/>
        </w:rPr>
        <w:t xml:space="preserve"> (</w:t>
      </w:r>
      <w:r>
        <w:rPr>
          <w:rFonts w:hint="eastAsia"/>
          <w:rtl/>
        </w:rPr>
        <w:t>‏</w:t>
      </w:r>
      <w:r>
        <w:rPr>
          <w:rFonts w:hint="cs"/>
          <w:rtl/>
        </w:rPr>
        <w:t>30</w:t>
      </w:r>
      <w:r>
        <w:rPr>
          <w:rtl/>
        </w:rPr>
        <w:t>.5.2023).</w:t>
      </w:r>
    </w:p>
    <w:p w:rsidR="00D76B85" w:rsidRDefault="00D76B85" w:rsidP="00AA280A">
      <w:pPr>
        <w:pStyle w:val="Ruller41"/>
        <w:rPr>
          <w:rtl/>
        </w:rPr>
      </w:pPr>
    </w:p>
    <w:tbl>
      <w:tblPr>
        <w:bidiVisual/>
        <w:tblW w:w="8363" w:type="dxa"/>
        <w:tblLook w:val="01E0" w:firstRow="1" w:lastRow="1" w:firstColumn="1" w:lastColumn="1" w:noHBand="0" w:noVBand="0"/>
      </w:tblPr>
      <w:tblGrid>
        <w:gridCol w:w="2787"/>
        <w:gridCol w:w="2787"/>
        <w:gridCol w:w="2789"/>
      </w:tblGrid>
      <w:tr w:rsidR="00B03982" w:rsidTr="00F55D0B">
        <w:tc>
          <w:tcPr>
            <w:tcW w:w="2787" w:type="dxa"/>
            <w:shd w:val="clear" w:color="auto" w:fill="auto"/>
          </w:tcPr>
          <w:p w:rsidR="00B03982" w:rsidRDefault="00B03982" w:rsidP="00F55D0B">
            <w:pPr>
              <w:pStyle w:val="Ruller41"/>
              <w:rPr>
                <w:rtl/>
              </w:rPr>
            </w:pPr>
            <w:r w:rsidRPr="0083392D">
              <w:rPr>
                <w:color w:val="FFFFFF"/>
                <w:sz w:val="2"/>
                <w:szCs w:val="2"/>
                <w:rtl/>
              </w:rPr>
              <w:t>54678313</w:t>
            </w:r>
            <w:r>
              <w:rPr>
                <w:rtl/>
              </w:rPr>
              <w:t>ש ו פ ט ת</w:t>
            </w:r>
          </w:p>
        </w:tc>
        <w:tc>
          <w:tcPr>
            <w:tcW w:w="2787" w:type="dxa"/>
            <w:shd w:val="clear" w:color="auto" w:fill="auto"/>
          </w:tcPr>
          <w:p w:rsidR="00B03982" w:rsidRDefault="00B03982" w:rsidP="00F55D0B">
            <w:pPr>
              <w:pStyle w:val="Ruller41"/>
              <w:jc w:val="center"/>
              <w:rPr>
                <w:rtl/>
              </w:rPr>
            </w:pPr>
            <w:r>
              <w:rPr>
                <w:rtl/>
              </w:rPr>
              <w:t>ש ו פ ט</w:t>
            </w:r>
          </w:p>
        </w:tc>
        <w:tc>
          <w:tcPr>
            <w:tcW w:w="2789" w:type="dxa"/>
            <w:shd w:val="clear" w:color="auto" w:fill="auto"/>
          </w:tcPr>
          <w:p w:rsidR="00B03982" w:rsidRDefault="00B03982" w:rsidP="00F55D0B">
            <w:pPr>
              <w:pStyle w:val="Ruller41"/>
              <w:jc w:val="right"/>
              <w:rPr>
                <w:rtl/>
              </w:rPr>
            </w:pPr>
            <w:r>
              <w:rPr>
                <w:rtl/>
              </w:rPr>
              <w:t>ש ו פ ט</w:t>
            </w:r>
          </w:p>
        </w:tc>
      </w:tr>
    </w:tbl>
    <w:p w:rsidR="00916FF8" w:rsidRDefault="00916FF8">
      <w:pPr>
        <w:rPr>
          <w:szCs w:val="16"/>
          <w:rtl/>
        </w:rPr>
      </w:pPr>
      <w:r>
        <w:rPr>
          <w:szCs w:val="16"/>
          <w:rtl/>
        </w:rPr>
        <w:t>_________________</w:t>
      </w:r>
      <w:r w:rsidR="00A12E0F">
        <w:rPr>
          <w:rFonts w:hint="cs"/>
          <w:szCs w:val="16"/>
          <w:rtl/>
        </w:rPr>
        <w:t>________</w:t>
      </w:r>
    </w:p>
    <w:p w:rsidR="00916FF8" w:rsidRDefault="00591983" w:rsidP="006B4623">
      <w:pPr>
        <w:pStyle w:val="Ruller38"/>
        <w:rPr>
          <w:rtl/>
        </w:rPr>
      </w:pPr>
      <w:r>
        <w:rPr>
          <w:sz w:val="16"/>
        </w:rPr>
        <w:t xml:space="preserve"> </w:t>
      </w:r>
      <w:r w:rsidR="00A12E0F">
        <w:rPr>
          <w:sz w:val="16"/>
        </w:rPr>
        <w:t xml:space="preserve">  </w:t>
      </w:r>
      <w:r w:rsidR="006D3E15">
        <w:rPr>
          <w:sz w:val="16"/>
        </w:rPr>
        <w:t xml:space="preserve">20038490_A14.docx   </w:t>
      </w:r>
      <w:r w:rsidR="006B4623">
        <w:rPr>
          <w:rFonts w:hint="cs"/>
          <w:sz w:val="16"/>
          <w:rtl/>
        </w:rPr>
        <w:t>/עכ.</w:t>
      </w:r>
    </w:p>
    <w:p w:rsidR="00591983" w:rsidRPr="00FC0252" w:rsidRDefault="00591983" w:rsidP="00FC0252">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11" w:history="1">
        <w:r w:rsidR="00FC0252" w:rsidRPr="00BB4C68">
          <w:rPr>
            <w:rStyle w:val="Hyperlink"/>
            <w:sz w:val="16"/>
          </w:rPr>
          <w:t>https://supreme.court.gov.il</w:t>
        </w:r>
      </w:hyperlink>
    </w:p>
    <w:p w:rsidR="003F1F97" w:rsidRDefault="003F1F97" w:rsidP="00591983">
      <w:pPr>
        <w:pStyle w:val="Ruller38"/>
        <w:rPr>
          <w:rtl/>
        </w:rPr>
      </w:pPr>
    </w:p>
    <w:sectPr w:rsidR="003F1F97" w:rsidSect="00591983">
      <w:headerReference w:type="even" r:id="rId12"/>
      <w:headerReference w:type="default" r:id="rId13"/>
      <w:footerReference w:type="even" r:id="rId14"/>
      <w:headerReference w:type="first" r:id="rId15"/>
      <w:footerReference w:type="first" r:id="rId16"/>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77617A">
      <w:rPr>
        <w:rStyle w:val="a4"/>
        <w:noProof/>
        <w:rtl/>
      </w:rPr>
      <w:t>24</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50D43"/>
    <w:multiLevelType w:val="hybridMultilevel"/>
    <w:tmpl w:val="F61E7C46"/>
    <w:lvl w:ilvl="0" w:tplc="1DA238A8">
      <w:start w:val="1"/>
      <w:numFmt w:val="decimal"/>
      <w:lvlText w:val="(%1)"/>
      <w:lvlJc w:val="left"/>
      <w:pPr>
        <w:ind w:left="720" w:hanging="360"/>
      </w:pPr>
      <w:rPr>
        <w:rFonts w:hint="default"/>
        <w:sz w:val="28"/>
      </w:rPr>
    </w:lvl>
    <w:lvl w:ilvl="1" w:tplc="D86A0342" w:tentative="1">
      <w:start w:val="1"/>
      <w:numFmt w:val="lowerLetter"/>
      <w:lvlText w:val="%2."/>
      <w:lvlJc w:val="left"/>
      <w:pPr>
        <w:ind w:left="1440" w:hanging="360"/>
      </w:pPr>
    </w:lvl>
    <w:lvl w:ilvl="2" w:tplc="747411E0" w:tentative="1">
      <w:start w:val="1"/>
      <w:numFmt w:val="lowerRoman"/>
      <w:lvlText w:val="%3."/>
      <w:lvlJc w:val="right"/>
      <w:pPr>
        <w:ind w:left="2160" w:hanging="180"/>
      </w:pPr>
    </w:lvl>
    <w:lvl w:ilvl="3" w:tplc="040A66F0" w:tentative="1">
      <w:start w:val="1"/>
      <w:numFmt w:val="decimal"/>
      <w:lvlText w:val="%4."/>
      <w:lvlJc w:val="left"/>
      <w:pPr>
        <w:ind w:left="2880" w:hanging="360"/>
      </w:pPr>
    </w:lvl>
    <w:lvl w:ilvl="4" w:tplc="95AED456" w:tentative="1">
      <w:start w:val="1"/>
      <w:numFmt w:val="lowerLetter"/>
      <w:lvlText w:val="%5."/>
      <w:lvlJc w:val="left"/>
      <w:pPr>
        <w:ind w:left="3600" w:hanging="360"/>
      </w:pPr>
    </w:lvl>
    <w:lvl w:ilvl="5" w:tplc="8ACC4D6A" w:tentative="1">
      <w:start w:val="1"/>
      <w:numFmt w:val="lowerRoman"/>
      <w:lvlText w:val="%6."/>
      <w:lvlJc w:val="right"/>
      <w:pPr>
        <w:ind w:left="4320" w:hanging="180"/>
      </w:pPr>
    </w:lvl>
    <w:lvl w:ilvl="6" w:tplc="597A07CA" w:tentative="1">
      <w:start w:val="1"/>
      <w:numFmt w:val="decimal"/>
      <w:lvlText w:val="%7."/>
      <w:lvlJc w:val="left"/>
      <w:pPr>
        <w:ind w:left="5040" w:hanging="360"/>
      </w:pPr>
    </w:lvl>
    <w:lvl w:ilvl="7" w:tplc="2D241C32" w:tentative="1">
      <w:start w:val="1"/>
      <w:numFmt w:val="lowerLetter"/>
      <w:lvlText w:val="%8."/>
      <w:lvlJc w:val="left"/>
      <w:pPr>
        <w:ind w:left="5760" w:hanging="360"/>
      </w:pPr>
    </w:lvl>
    <w:lvl w:ilvl="8" w:tplc="18DE65E2" w:tentative="1">
      <w:start w:val="1"/>
      <w:numFmt w:val="lowerRoman"/>
      <w:lvlText w:val="%9."/>
      <w:lvlJc w:val="right"/>
      <w:pPr>
        <w:ind w:left="6480" w:hanging="180"/>
      </w:pPr>
    </w:lvl>
  </w:abstractNum>
  <w:abstractNum w:abstractNumId="11" w15:restartNumberingAfterBreak="0">
    <w:nsid w:val="08A6001B"/>
    <w:multiLevelType w:val="hybridMultilevel"/>
    <w:tmpl w:val="B2C4B5E4"/>
    <w:lvl w:ilvl="0" w:tplc="1624CD34">
      <w:start w:val="1"/>
      <w:numFmt w:val="decimal"/>
      <w:pStyle w:val="Ruller4"/>
      <w:lvlText w:val="%1."/>
      <w:lvlJc w:val="left"/>
      <w:pPr>
        <w:tabs>
          <w:tab w:val="num" w:pos="907"/>
        </w:tabs>
        <w:ind w:left="0" w:firstLine="0"/>
      </w:pPr>
      <w:rPr>
        <w:rFonts w:hint="default"/>
      </w:rPr>
    </w:lvl>
    <w:lvl w:ilvl="1" w:tplc="CB1801B4" w:tentative="1">
      <w:start w:val="1"/>
      <w:numFmt w:val="lowerLetter"/>
      <w:lvlText w:val="%2."/>
      <w:lvlJc w:val="left"/>
      <w:pPr>
        <w:tabs>
          <w:tab w:val="num" w:pos="1440"/>
        </w:tabs>
        <w:ind w:left="1440" w:hanging="360"/>
      </w:pPr>
    </w:lvl>
    <w:lvl w:ilvl="2" w:tplc="C21429A4" w:tentative="1">
      <w:start w:val="1"/>
      <w:numFmt w:val="lowerRoman"/>
      <w:lvlText w:val="%3."/>
      <w:lvlJc w:val="right"/>
      <w:pPr>
        <w:tabs>
          <w:tab w:val="num" w:pos="2160"/>
        </w:tabs>
        <w:ind w:left="2160" w:hanging="180"/>
      </w:pPr>
    </w:lvl>
    <w:lvl w:ilvl="3" w:tplc="C2A6F2A6" w:tentative="1">
      <w:start w:val="1"/>
      <w:numFmt w:val="decimal"/>
      <w:lvlText w:val="%4."/>
      <w:lvlJc w:val="left"/>
      <w:pPr>
        <w:tabs>
          <w:tab w:val="num" w:pos="2880"/>
        </w:tabs>
        <w:ind w:left="2880" w:hanging="360"/>
      </w:pPr>
    </w:lvl>
    <w:lvl w:ilvl="4" w:tplc="6A907930" w:tentative="1">
      <w:start w:val="1"/>
      <w:numFmt w:val="lowerLetter"/>
      <w:lvlText w:val="%5."/>
      <w:lvlJc w:val="left"/>
      <w:pPr>
        <w:tabs>
          <w:tab w:val="num" w:pos="3600"/>
        </w:tabs>
        <w:ind w:left="3600" w:hanging="360"/>
      </w:pPr>
    </w:lvl>
    <w:lvl w:ilvl="5" w:tplc="B53C633E" w:tentative="1">
      <w:start w:val="1"/>
      <w:numFmt w:val="lowerRoman"/>
      <w:lvlText w:val="%6."/>
      <w:lvlJc w:val="right"/>
      <w:pPr>
        <w:tabs>
          <w:tab w:val="num" w:pos="4320"/>
        </w:tabs>
        <w:ind w:left="4320" w:hanging="180"/>
      </w:pPr>
    </w:lvl>
    <w:lvl w:ilvl="6" w:tplc="C6B2272A" w:tentative="1">
      <w:start w:val="1"/>
      <w:numFmt w:val="decimal"/>
      <w:lvlText w:val="%7."/>
      <w:lvlJc w:val="left"/>
      <w:pPr>
        <w:tabs>
          <w:tab w:val="num" w:pos="5040"/>
        </w:tabs>
        <w:ind w:left="5040" w:hanging="360"/>
      </w:pPr>
    </w:lvl>
    <w:lvl w:ilvl="7" w:tplc="E58E2522" w:tentative="1">
      <w:start w:val="1"/>
      <w:numFmt w:val="lowerLetter"/>
      <w:lvlText w:val="%8."/>
      <w:lvlJc w:val="left"/>
      <w:pPr>
        <w:tabs>
          <w:tab w:val="num" w:pos="5760"/>
        </w:tabs>
        <w:ind w:left="5760" w:hanging="360"/>
      </w:pPr>
    </w:lvl>
    <w:lvl w:ilvl="8" w:tplc="EA8812A4" w:tentative="1">
      <w:start w:val="1"/>
      <w:numFmt w:val="lowerRoman"/>
      <w:lvlText w:val="%9."/>
      <w:lvlJc w:val="right"/>
      <w:pPr>
        <w:tabs>
          <w:tab w:val="num" w:pos="6480"/>
        </w:tabs>
        <w:ind w:left="6480" w:hanging="180"/>
      </w:pPr>
    </w:lvl>
  </w:abstractNum>
  <w:abstractNum w:abstractNumId="12" w15:restartNumberingAfterBreak="0">
    <w:nsid w:val="1D8B220C"/>
    <w:multiLevelType w:val="hybridMultilevel"/>
    <w:tmpl w:val="3676B2AC"/>
    <w:lvl w:ilvl="0" w:tplc="7D6C20EC">
      <w:start w:val="1"/>
      <w:numFmt w:val="decimal"/>
      <w:lvlText w:val="(%1)"/>
      <w:lvlJc w:val="left"/>
      <w:pPr>
        <w:ind w:left="720" w:hanging="360"/>
      </w:pPr>
      <w:rPr>
        <w:rFonts w:hint="default"/>
        <w:sz w:val="28"/>
      </w:rPr>
    </w:lvl>
    <w:lvl w:ilvl="1" w:tplc="877E51A0" w:tentative="1">
      <w:start w:val="1"/>
      <w:numFmt w:val="lowerLetter"/>
      <w:lvlText w:val="%2."/>
      <w:lvlJc w:val="left"/>
      <w:pPr>
        <w:ind w:left="1440" w:hanging="360"/>
      </w:pPr>
    </w:lvl>
    <w:lvl w:ilvl="2" w:tplc="F1DC2C68" w:tentative="1">
      <w:start w:val="1"/>
      <w:numFmt w:val="lowerRoman"/>
      <w:lvlText w:val="%3."/>
      <w:lvlJc w:val="right"/>
      <w:pPr>
        <w:ind w:left="2160" w:hanging="180"/>
      </w:pPr>
    </w:lvl>
    <w:lvl w:ilvl="3" w:tplc="F64AFD5C" w:tentative="1">
      <w:start w:val="1"/>
      <w:numFmt w:val="decimal"/>
      <w:lvlText w:val="%4."/>
      <w:lvlJc w:val="left"/>
      <w:pPr>
        <w:ind w:left="2880" w:hanging="360"/>
      </w:pPr>
    </w:lvl>
    <w:lvl w:ilvl="4" w:tplc="4FE6AEC6" w:tentative="1">
      <w:start w:val="1"/>
      <w:numFmt w:val="lowerLetter"/>
      <w:lvlText w:val="%5."/>
      <w:lvlJc w:val="left"/>
      <w:pPr>
        <w:ind w:left="3600" w:hanging="360"/>
      </w:pPr>
    </w:lvl>
    <w:lvl w:ilvl="5" w:tplc="63A88EA2" w:tentative="1">
      <w:start w:val="1"/>
      <w:numFmt w:val="lowerRoman"/>
      <w:lvlText w:val="%6."/>
      <w:lvlJc w:val="right"/>
      <w:pPr>
        <w:ind w:left="4320" w:hanging="180"/>
      </w:pPr>
    </w:lvl>
    <w:lvl w:ilvl="6" w:tplc="800CE010" w:tentative="1">
      <w:start w:val="1"/>
      <w:numFmt w:val="decimal"/>
      <w:lvlText w:val="%7."/>
      <w:lvlJc w:val="left"/>
      <w:pPr>
        <w:ind w:left="5040" w:hanging="360"/>
      </w:pPr>
    </w:lvl>
    <w:lvl w:ilvl="7" w:tplc="4F0ABC94" w:tentative="1">
      <w:start w:val="1"/>
      <w:numFmt w:val="lowerLetter"/>
      <w:lvlText w:val="%8."/>
      <w:lvlJc w:val="left"/>
      <w:pPr>
        <w:ind w:left="5760" w:hanging="360"/>
      </w:pPr>
    </w:lvl>
    <w:lvl w:ilvl="8" w:tplc="10B0B6D2" w:tentative="1">
      <w:start w:val="1"/>
      <w:numFmt w:val="lowerRoman"/>
      <w:lvlText w:val="%9."/>
      <w:lvlJc w:val="right"/>
      <w:pPr>
        <w:ind w:left="6480" w:hanging="180"/>
      </w:pPr>
    </w:lvl>
  </w:abstractNum>
  <w:abstractNum w:abstractNumId="13" w15:restartNumberingAfterBreak="0">
    <w:nsid w:val="4FE70B62"/>
    <w:multiLevelType w:val="hybridMultilevel"/>
    <w:tmpl w:val="ADA8711E"/>
    <w:lvl w:ilvl="0" w:tplc="F97488E8">
      <w:start w:val="1"/>
      <w:numFmt w:val="hebrew1"/>
      <w:pStyle w:val="Ruller40"/>
      <w:lvlText w:val="%1."/>
      <w:lvlJc w:val="left"/>
      <w:pPr>
        <w:tabs>
          <w:tab w:val="num" w:pos="907"/>
        </w:tabs>
        <w:ind w:left="0" w:firstLine="0"/>
      </w:pPr>
      <w:rPr>
        <w:rFonts w:hint="default"/>
      </w:rPr>
    </w:lvl>
    <w:lvl w:ilvl="1" w:tplc="A28E88C2" w:tentative="1">
      <w:start w:val="1"/>
      <w:numFmt w:val="lowerLetter"/>
      <w:lvlText w:val="%2."/>
      <w:lvlJc w:val="left"/>
      <w:pPr>
        <w:tabs>
          <w:tab w:val="num" w:pos="1440"/>
        </w:tabs>
        <w:ind w:left="1440" w:hanging="360"/>
      </w:pPr>
    </w:lvl>
    <w:lvl w:ilvl="2" w:tplc="F82E9E40" w:tentative="1">
      <w:start w:val="1"/>
      <w:numFmt w:val="lowerRoman"/>
      <w:lvlText w:val="%3."/>
      <w:lvlJc w:val="right"/>
      <w:pPr>
        <w:tabs>
          <w:tab w:val="num" w:pos="2160"/>
        </w:tabs>
        <w:ind w:left="2160" w:hanging="180"/>
      </w:pPr>
    </w:lvl>
    <w:lvl w:ilvl="3" w:tplc="7C240444" w:tentative="1">
      <w:start w:val="1"/>
      <w:numFmt w:val="decimal"/>
      <w:lvlText w:val="%4."/>
      <w:lvlJc w:val="left"/>
      <w:pPr>
        <w:tabs>
          <w:tab w:val="num" w:pos="2880"/>
        </w:tabs>
        <w:ind w:left="2880" w:hanging="360"/>
      </w:pPr>
    </w:lvl>
    <w:lvl w:ilvl="4" w:tplc="FB0EE03C" w:tentative="1">
      <w:start w:val="1"/>
      <w:numFmt w:val="lowerLetter"/>
      <w:lvlText w:val="%5."/>
      <w:lvlJc w:val="left"/>
      <w:pPr>
        <w:tabs>
          <w:tab w:val="num" w:pos="3600"/>
        </w:tabs>
        <w:ind w:left="3600" w:hanging="360"/>
      </w:pPr>
    </w:lvl>
    <w:lvl w:ilvl="5" w:tplc="F3ACC4A2" w:tentative="1">
      <w:start w:val="1"/>
      <w:numFmt w:val="lowerRoman"/>
      <w:lvlText w:val="%6."/>
      <w:lvlJc w:val="right"/>
      <w:pPr>
        <w:tabs>
          <w:tab w:val="num" w:pos="4320"/>
        </w:tabs>
        <w:ind w:left="4320" w:hanging="180"/>
      </w:pPr>
    </w:lvl>
    <w:lvl w:ilvl="6" w:tplc="35F0C50A" w:tentative="1">
      <w:start w:val="1"/>
      <w:numFmt w:val="decimal"/>
      <w:lvlText w:val="%7."/>
      <w:lvlJc w:val="left"/>
      <w:pPr>
        <w:tabs>
          <w:tab w:val="num" w:pos="5040"/>
        </w:tabs>
        <w:ind w:left="5040" w:hanging="360"/>
      </w:pPr>
    </w:lvl>
    <w:lvl w:ilvl="7" w:tplc="CE7059BE" w:tentative="1">
      <w:start w:val="1"/>
      <w:numFmt w:val="lowerLetter"/>
      <w:lvlText w:val="%8."/>
      <w:lvlJc w:val="left"/>
      <w:pPr>
        <w:tabs>
          <w:tab w:val="num" w:pos="5760"/>
        </w:tabs>
        <w:ind w:left="5760" w:hanging="360"/>
      </w:pPr>
    </w:lvl>
    <w:lvl w:ilvl="8" w:tplc="440E2E42" w:tentative="1">
      <w:start w:val="1"/>
      <w:numFmt w:val="lowerRoman"/>
      <w:lvlText w:val="%9."/>
      <w:lvlJc w:val="right"/>
      <w:pPr>
        <w:tabs>
          <w:tab w:val="num" w:pos="6480"/>
        </w:tabs>
        <w:ind w:left="6480" w:hanging="180"/>
      </w:pPr>
    </w:lvl>
  </w:abstractNum>
  <w:abstractNum w:abstractNumId="14" w15:restartNumberingAfterBreak="0">
    <w:nsid w:val="552B1CBB"/>
    <w:multiLevelType w:val="hybridMultilevel"/>
    <w:tmpl w:val="0E4AA9EA"/>
    <w:lvl w:ilvl="0" w:tplc="F66EA03E">
      <w:start w:val="1"/>
      <w:numFmt w:val="decimal"/>
      <w:lvlText w:val="%1."/>
      <w:lvlJc w:val="left"/>
      <w:pPr>
        <w:ind w:left="720" w:hanging="360"/>
      </w:pPr>
      <w:rPr>
        <w:sz w:val="28"/>
        <w:szCs w:val="28"/>
        <w:lang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3"/>
  </w:num>
  <w:num w:numId="13">
    <w:abstractNumId w:val="12"/>
  </w:num>
  <w:num w:numId="14">
    <w:abstractNumId w:val="1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953"/>
    <w:rsid w:val="00045B4D"/>
    <w:rsid w:val="00064FE5"/>
    <w:rsid w:val="000725F5"/>
    <w:rsid w:val="00072AD2"/>
    <w:rsid w:val="0008718D"/>
    <w:rsid w:val="000B1478"/>
    <w:rsid w:val="000C4690"/>
    <w:rsid w:val="000D25C4"/>
    <w:rsid w:val="00134A67"/>
    <w:rsid w:val="001A0164"/>
    <w:rsid w:val="00200D6B"/>
    <w:rsid w:val="00206F1B"/>
    <w:rsid w:val="00265F6E"/>
    <w:rsid w:val="002876BF"/>
    <w:rsid w:val="002A4A7A"/>
    <w:rsid w:val="002A4BF3"/>
    <w:rsid w:val="002F7534"/>
    <w:rsid w:val="002F7BB6"/>
    <w:rsid w:val="003448B2"/>
    <w:rsid w:val="00361DB2"/>
    <w:rsid w:val="0037622E"/>
    <w:rsid w:val="00377102"/>
    <w:rsid w:val="0039709B"/>
    <w:rsid w:val="003D72DA"/>
    <w:rsid w:val="003F1F97"/>
    <w:rsid w:val="0041048F"/>
    <w:rsid w:val="00437D59"/>
    <w:rsid w:val="004610A4"/>
    <w:rsid w:val="00464309"/>
    <w:rsid w:val="004B29FF"/>
    <w:rsid w:val="004C7868"/>
    <w:rsid w:val="00503A3E"/>
    <w:rsid w:val="00527F02"/>
    <w:rsid w:val="005803E2"/>
    <w:rsid w:val="0058440A"/>
    <w:rsid w:val="00591983"/>
    <w:rsid w:val="00624A42"/>
    <w:rsid w:val="0065522F"/>
    <w:rsid w:val="006A30F7"/>
    <w:rsid w:val="006B4623"/>
    <w:rsid w:val="006C42AD"/>
    <w:rsid w:val="006D3E15"/>
    <w:rsid w:val="00722B5A"/>
    <w:rsid w:val="00725345"/>
    <w:rsid w:val="00741CC0"/>
    <w:rsid w:val="0077617A"/>
    <w:rsid w:val="007B512F"/>
    <w:rsid w:val="007F7512"/>
    <w:rsid w:val="00807DBD"/>
    <w:rsid w:val="00810894"/>
    <w:rsid w:val="008143AB"/>
    <w:rsid w:val="0083345F"/>
    <w:rsid w:val="00836667"/>
    <w:rsid w:val="00866D0F"/>
    <w:rsid w:val="008C2F11"/>
    <w:rsid w:val="008D78B9"/>
    <w:rsid w:val="008E3F85"/>
    <w:rsid w:val="009051E8"/>
    <w:rsid w:val="00914156"/>
    <w:rsid w:val="00916FF8"/>
    <w:rsid w:val="00922093"/>
    <w:rsid w:val="00930C85"/>
    <w:rsid w:val="00953D6F"/>
    <w:rsid w:val="009B38DA"/>
    <w:rsid w:val="009F2F53"/>
    <w:rsid w:val="009F4187"/>
    <w:rsid w:val="00A12E0F"/>
    <w:rsid w:val="00A51FAE"/>
    <w:rsid w:val="00A80845"/>
    <w:rsid w:val="00AA280A"/>
    <w:rsid w:val="00AB69F7"/>
    <w:rsid w:val="00AD097B"/>
    <w:rsid w:val="00AD64B9"/>
    <w:rsid w:val="00AE022B"/>
    <w:rsid w:val="00B009CC"/>
    <w:rsid w:val="00B03982"/>
    <w:rsid w:val="00B0782A"/>
    <w:rsid w:val="00B16A82"/>
    <w:rsid w:val="00B62B8C"/>
    <w:rsid w:val="00B63343"/>
    <w:rsid w:val="00B868BC"/>
    <w:rsid w:val="00B87FF7"/>
    <w:rsid w:val="00BA0B08"/>
    <w:rsid w:val="00BC0E82"/>
    <w:rsid w:val="00BD40F9"/>
    <w:rsid w:val="00C41C86"/>
    <w:rsid w:val="00C63A6C"/>
    <w:rsid w:val="00CA13AF"/>
    <w:rsid w:val="00CA1444"/>
    <w:rsid w:val="00CB1590"/>
    <w:rsid w:val="00CB7600"/>
    <w:rsid w:val="00CC0E9D"/>
    <w:rsid w:val="00CC3639"/>
    <w:rsid w:val="00D00B1D"/>
    <w:rsid w:val="00D00CB7"/>
    <w:rsid w:val="00D25F16"/>
    <w:rsid w:val="00D76B85"/>
    <w:rsid w:val="00DB4824"/>
    <w:rsid w:val="00E21CA9"/>
    <w:rsid w:val="00E31063"/>
    <w:rsid w:val="00E36FE9"/>
    <w:rsid w:val="00E73E98"/>
    <w:rsid w:val="00E75223"/>
    <w:rsid w:val="00E90D72"/>
    <w:rsid w:val="00EA0BE1"/>
    <w:rsid w:val="00EC23AC"/>
    <w:rsid w:val="00EC2992"/>
    <w:rsid w:val="00ED46A4"/>
    <w:rsid w:val="00ED6FD9"/>
    <w:rsid w:val="00EE3810"/>
    <w:rsid w:val="00F63C3B"/>
    <w:rsid w:val="00F959DB"/>
    <w:rsid w:val="00FC02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C4CBA"/>
  <w15:chartTrackingRefBased/>
  <w15:docId w15:val="{4B818390-1B51-4ABE-BD8D-AC34E0B2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uiPriority w:val="99"/>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paragraph" w:customStyle="1" w:styleId="Ruller4">
    <w:name w:val="Ruller 4 ממוספר"/>
    <w:basedOn w:val="Ruller41"/>
    <w:next w:val="Ruller41"/>
    <w:rsid w:val="00464309"/>
    <w:pPr>
      <w:numPr>
        <w:numId w:val="11"/>
      </w:numPr>
    </w:pPr>
    <w:rPr>
      <w:rFonts w:ascii="Garamond" w:hAnsi="Garamond"/>
      <w:sz w:val="24"/>
    </w:rPr>
  </w:style>
  <w:style w:type="paragraph" w:customStyle="1" w:styleId="Ruller40">
    <w:name w:val="Ruller4 אלפביתי"/>
    <w:basedOn w:val="Ruller41"/>
    <w:next w:val="Ruller41"/>
    <w:rsid w:val="00464309"/>
    <w:pPr>
      <w:numPr>
        <w:numId w:val="12"/>
      </w:numPr>
    </w:pPr>
  </w:style>
  <w:style w:type="character" w:customStyle="1" w:styleId="default">
    <w:name w:val="default"/>
    <w:basedOn w:val="a0"/>
    <w:rsid w:val="00464309"/>
  </w:style>
  <w:style w:type="character" w:customStyle="1" w:styleId="Ruller42">
    <w:name w:val="Ruller4 תו"/>
    <w:basedOn w:val="a0"/>
    <w:link w:val="Ruller41"/>
    <w:locked/>
    <w:rsid w:val="00B03982"/>
    <w:rPr>
      <w:rFonts w:ascii="Arial TUR" w:hAnsi="Arial TUR" w:cs="FrankRuehl"/>
      <w:spacing w:val="1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nevo.co.il/law/70305/13a.c.1"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supreme.court.gov.i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evo.co.il/law/70305" TargetMode="External"/><Relationship Id="rId4" Type="http://schemas.openxmlformats.org/officeDocument/2006/relationships/settings" Target="settings.xml"/><Relationship Id="rId9" Type="http://schemas.openxmlformats.org/officeDocument/2006/relationships/hyperlink" Target="http://www.nevo.co.il/law/70305/13a.d"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8115</Words>
  <Characters>39244</Characters>
  <Application>Microsoft Office Word</Application>
  <DocSecurity>0</DocSecurity>
  <Lines>327</Lines>
  <Paragraphs>94</Paragraphs>
  <ScaleCrop>false</ScaleCrop>
  <HeadingPairs>
    <vt:vector size="2" baseType="variant">
      <vt:variant>
        <vt:lpstr>שם</vt:lpstr>
      </vt:variant>
      <vt:variant>
        <vt:i4>1</vt:i4>
      </vt:variant>
    </vt:vector>
  </HeadingPairs>
  <TitlesOfParts>
    <vt:vector size="1" baseType="lpstr">
      <vt:lpstr>פסק-דין בתיק ע"א  3849/20</vt:lpstr>
    </vt:vector>
  </TitlesOfParts>
  <Company/>
  <LinksUpToDate>false</LinksUpToDate>
  <CharactersWithSpaces>47265</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2023-05-30T09:16:26Z</cp:lastPrinted>
  <dcterms:created xsi:type="dcterms:W3CDTF">2023-05-30T09:16:26Z</dcterms:created>
  <dcterms:modified xsi:type="dcterms:W3CDTF">2023-05-30T09:16:26Z</dcterms:modified>
</cp:coreProperties>
</file>